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6743" w14:textId="77777777" w:rsidR="00081852" w:rsidRDefault="00EC555E" w:rsidP="00EC555E">
      <w:pPr>
        <w:jc w:val="center"/>
        <w:rPr>
          <w:b/>
          <w:sz w:val="32"/>
        </w:rPr>
      </w:pPr>
      <w:r>
        <w:rPr>
          <w:b/>
          <w:sz w:val="32"/>
        </w:rPr>
        <w:t>Grille</w:t>
      </w:r>
      <w:r w:rsidR="00DD2000" w:rsidRPr="00DD2000">
        <w:rPr>
          <w:b/>
          <w:sz w:val="32"/>
        </w:rPr>
        <w:t xml:space="preserve"> d’inspection des </w:t>
      </w:r>
      <w:r w:rsidR="008D048A">
        <w:rPr>
          <w:b/>
          <w:sz w:val="32"/>
        </w:rPr>
        <w:t>échelles</w:t>
      </w: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653141" w14:paraId="23CEAA89" w14:textId="77777777" w:rsidTr="00653141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14:paraId="3D3A4537" w14:textId="77777777" w:rsidR="00653141" w:rsidRDefault="00653141" w:rsidP="00144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Bâtiment :</w:t>
            </w:r>
          </w:p>
        </w:tc>
        <w:tc>
          <w:tcPr>
            <w:tcW w:w="3544" w:type="dxa"/>
            <w:tcBorders>
              <w:left w:val="nil"/>
            </w:tcBorders>
          </w:tcPr>
          <w:p w14:paraId="7F7E1A94" w14:textId="77777777" w:rsidR="00653141" w:rsidRDefault="00653141" w:rsidP="0014403A">
            <w:pPr>
              <w:rPr>
                <w:b/>
                <w:sz w:val="24"/>
              </w:rPr>
            </w:pPr>
          </w:p>
        </w:tc>
      </w:tr>
      <w:tr w:rsidR="00653141" w14:paraId="40A04809" w14:textId="77777777" w:rsidTr="00653141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14:paraId="4A710C88" w14:textId="77777777" w:rsidR="00653141" w:rsidRDefault="00653141" w:rsidP="00144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Code/numéro de l’échelle :</w:t>
            </w:r>
          </w:p>
        </w:tc>
        <w:tc>
          <w:tcPr>
            <w:tcW w:w="3544" w:type="dxa"/>
            <w:tcBorders>
              <w:left w:val="nil"/>
            </w:tcBorders>
          </w:tcPr>
          <w:p w14:paraId="6DFA912C" w14:textId="77777777" w:rsidR="00653141" w:rsidRDefault="00653141" w:rsidP="0014403A">
            <w:pPr>
              <w:rPr>
                <w:b/>
                <w:sz w:val="24"/>
              </w:rPr>
            </w:pPr>
          </w:p>
        </w:tc>
      </w:tr>
    </w:tbl>
    <w:p w14:paraId="5FF84F45" w14:textId="77777777" w:rsidR="00653141" w:rsidRDefault="00653141" w:rsidP="00DD2000">
      <w:pPr>
        <w:jc w:val="center"/>
        <w:rPr>
          <w:b/>
          <w:sz w:val="3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812"/>
        <w:gridCol w:w="394"/>
        <w:gridCol w:w="501"/>
        <w:gridCol w:w="519"/>
        <w:gridCol w:w="4924"/>
        <w:gridCol w:w="1690"/>
        <w:gridCol w:w="1711"/>
      </w:tblGrid>
      <w:tr w:rsidR="00DD2000" w14:paraId="60A67EE5" w14:textId="77777777" w:rsidTr="009330EA">
        <w:tc>
          <w:tcPr>
            <w:tcW w:w="3892" w:type="dxa"/>
            <w:shd w:val="clear" w:color="auto" w:fill="0F243E" w:themeFill="text2" w:themeFillShade="80"/>
            <w:vAlign w:val="center"/>
          </w:tcPr>
          <w:p w14:paraId="5405E747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Élément d’inspection</w:t>
            </w:r>
          </w:p>
        </w:tc>
        <w:tc>
          <w:tcPr>
            <w:tcW w:w="396" w:type="dxa"/>
            <w:shd w:val="clear" w:color="auto" w:fill="0F243E" w:themeFill="text2" w:themeFillShade="80"/>
            <w:vAlign w:val="center"/>
          </w:tcPr>
          <w:p w14:paraId="01866723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C</w:t>
            </w:r>
          </w:p>
        </w:tc>
        <w:tc>
          <w:tcPr>
            <w:tcW w:w="502" w:type="dxa"/>
            <w:shd w:val="clear" w:color="auto" w:fill="0F243E" w:themeFill="text2" w:themeFillShade="80"/>
            <w:vAlign w:val="center"/>
          </w:tcPr>
          <w:p w14:paraId="1C2F631D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NC</w:t>
            </w:r>
          </w:p>
        </w:tc>
        <w:tc>
          <w:tcPr>
            <w:tcW w:w="520" w:type="dxa"/>
            <w:shd w:val="clear" w:color="auto" w:fill="0F243E" w:themeFill="text2" w:themeFillShade="80"/>
            <w:vAlign w:val="center"/>
          </w:tcPr>
          <w:p w14:paraId="60FA0841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NA</w:t>
            </w:r>
          </w:p>
        </w:tc>
        <w:tc>
          <w:tcPr>
            <w:tcW w:w="5038" w:type="dxa"/>
            <w:shd w:val="clear" w:color="auto" w:fill="0F243E" w:themeFill="text2" w:themeFillShade="80"/>
            <w:vAlign w:val="center"/>
          </w:tcPr>
          <w:p w14:paraId="731B9E35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Commentaires (précisions, lieu, équipement, etc.)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14:paraId="059151B1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Responsable</w:t>
            </w:r>
          </w:p>
        </w:tc>
        <w:tc>
          <w:tcPr>
            <w:tcW w:w="1728" w:type="dxa"/>
            <w:shd w:val="clear" w:color="auto" w:fill="0F243E" w:themeFill="text2" w:themeFillShade="80"/>
            <w:vAlign w:val="center"/>
          </w:tcPr>
          <w:p w14:paraId="32F79F49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Échéancier</w:t>
            </w:r>
          </w:p>
        </w:tc>
      </w:tr>
      <w:tr w:rsidR="008E424F" w14:paraId="2902234F" w14:textId="77777777" w:rsidTr="008E424F">
        <w:tc>
          <w:tcPr>
            <w:tcW w:w="3892" w:type="dxa"/>
            <w:vAlign w:val="center"/>
          </w:tcPr>
          <w:p w14:paraId="6E5F0D0D" w14:textId="77777777" w:rsidR="008E42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Examiner les montants du plan de sou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tien et du plan coulissant à la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recherche de boss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elures, de fissures et d’autres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imperfections.</w:t>
            </w:r>
          </w:p>
        </w:tc>
        <w:tc>
          <w:tcPr>
            <w:tcW w:w="396" w:type="dxa"/>
          </w:tcPr>
          <w:p w14:paraId="4F84A136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2E296744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056B5C98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02CBF23D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6518B86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0067CBCD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E30D4F" w14:paraId="0FF0EC23" w14:textId="77777777" w:rsidTr="008E424F">
        <w:tc>
          <w:tcPr>
            <w:tcW w:w="3892" w:type="dxa"/>
            <w:vAlign w:val="center"/>
          </w:tcPr>
          <w:p w14:paraId="52114B24" w14:textId="77777777" w:rsidR="00E30D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Vérifier que les embouts de protection et les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guides du plan coulissant sont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exempts de fissures, d’écaillages et de marques d’usure.</w:t>
            </w:r>
          </w:p>
        </w:tc>
        <w:tc>
          <w:tcPr>
            <w:tcW w:w="396" w:type="dxa"/>
          </w:tcPr>
          <w:p w14:paraId="7C7C8A34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50CEDCD5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2AFABF9B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70956A2F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2F1774DA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31EA98B3" w14:textId="77777777" w:rsidR="00E30D4F" w:rsidRDefault="00E30D4F" w:rsidP="00DD2000">
            <w:pPr>
              <w:rPr>
                <w:b/>
                <w:sz w:val="32"/>
              </w:rPr>
            </w:pPr>
          </w:p>
        </w:tc>
      </w:tr>
      <w:tr w:rsidR="008E424F" w14:paraId="524D8052" w14:textId="77777777" w:rsidTr="008E424F">
        <w:tc>
          <w:tcPr>
            <w:tcW w:w="3892" w:type="dxa"/>
            <w:vAlign w:val="center"/>
          </w:tcPr>
          <w:p w14:paraId="289FBDC7" w14:textId="77777777" w:rsidR="008E42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Vé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rifier que tous les éléments de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fixation sont présents et bien solides.</w:t>
            </w:r>
          </w:p>
        </w:tc>
        <w:tc>
          <w:tcPr>
            <w:tcW w:w="396" w:type="dxa"/>
          </w:tcPr>
          <w:p w14:paraId="13404493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2393879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6DC614B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63163873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668090F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6D46DB07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0289AC8A" w14:textId="77777777" w:rsidTr="008E424F">
        <w:tc>
          <w:tcPr>
            <w:tcW w:w="3892" w:type="dxa"/>
            <w:vAlign w:val="center"/>
          </w:tcPr>
          <w:p w14:paraId="0240AF79" w14:textId="77777777" w:rsidR="008E42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Examiner la c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orde et la poulie de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tir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age pour s’assurer que la corde bouge librement et qu’elle n’est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pas effr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itée, nouée ou étirée. Vérifier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qu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 le plan de soutien et le plan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coulissant sont parfaitement droits.</w:t>
            </w:r>
          </w:p>
        </w:tc>
        <w:tc>
          <w:tcPr>
            <w:tcW w:w="396" w:type="dxa"/>
          </w:tcPr>
          <w:p w14:paraId="069854B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1CF73E03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5412CCC6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7046B4C3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6391837D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606E4CEB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3250AE77" w14:textId="77777777" w:rsidTr="008E424F">
        <w:tc>
          <w:tcPr>
            <w:tcW w:w="3892" w:type="dxa"/>
            <w:vAlign w:val="center"/>
          </w:tcPr>
          <w:p w14:paraId="76ACE373" w14:textId="77777777" w:rsidR="008E42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Exa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miner les pieds pour déterminer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si les patins 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antidérapants sont usés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ou s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 des éléments de fixation sont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desserrés ou absents.</w:t>
            </w:r>
          </w:p>
        </w:tc>
        <w:tc>
          <w:tcPr>
            <w:tcW w:w="396" w:type="dxa"/>
          </w:tcPr>
          <w:p w14:paraId="619EB14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200312E9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30F937A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63D80429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71248F94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22A5162E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7100DF4F" w14:textId="77777777" w:rsidTr="008E424F">
        <w:tc>
          <w:tcPr>
            <w:tcW w:w="3892" w:type="dxa"/>
            <w:vAlign w:val="center"/>
          </w:tcPr>
          <w:p w14:paraId="5C41D735" w14:textId="77777777" w:rsidR="008E424F" w:rsidRDefault="008D048A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Vérifier</w:t>
            </w:r>
            <w:r w:rsidR="004676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que les dispositifs de blocage </w:t>
            </w:r>
            <w:r w:rsidRPr="008D048A">
              <w:rPr>
                <w:rFonts w:ascii="Calibri" w:hAnsi="Calibri" w:cs="Calibri"/>
                <w:color w:val="000000"/>
                <w:sz w:val="21"/>
                <w:szCs w:val="21"/>
              </w:rPr>
              <w:t>tournent librement et sont en bon état.</w:t>
            </w:r>
          </w:p>
        </w:tc>
        <w:tc>
          <w:tcPr>
            <w:tcW w:w="396" w:type="dxa"/>
          </w:tcPr>
          <w:p w14:paraId="64E9ED2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7D3B2C3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621CCF70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064EED35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1CEEC4DA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0F029453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</w:tbl>
    <w:p w14:paraId="4983CB84" w14:textId="77777777" w:rsidR="008E424F" w:rsidRPr="008D048A" w:rsidRDefault="00230FBE" w:rsidP="00AF5C6C">
      <w:pPr>
        <w:rPr>
          <w:b/>
          <w:sz w:val="32"/>
        </w:rPr>
      </w:pPr>
      <w:r>
        <w:rPr>
          <w:b/>
          <w:sz w:val="20"/>
        </w:rPr>
        <w:t>Légende :</w:t>
      </w:r>
      <w:r w:rsidRPr="00230FBE">
        <w:rPr>
          <w:b/>
          <w:sz w:val="20"/>
        </w:rPr>
        <w:t xml:space="preserve"> C: CONFORME/NC : NON CONFORME/NA : NON APPLICABLE</w:t>
      </w:r>
    </w:p>
    <w:p w14:paraId="60235D7E" w14:textId="77777777" w:rsidR="00230FBE" w:rsidRDefault="00230FBE" w:rsidP="00230FBE">
      <w:pPr>
        <w:rPr>
          <w:b/>
          <w:sz w:val="24"/>
        </w:rPr>
      </w:pPr>
    </w:p>
    <w:p w14:paraId="2A6C3813" w14:textId="77777777" w:rsidR="00230FBE" w:rsidRPr="00230FBE" w:rsidRDefault="00230FBE" w:rsidP="00230FBE">
      <w:pPr>
        <w:rPr>
          <w:b/>
          <w:sz w:val="24"/>
        </w:rPr>
      </w:pPr>
      <w:r w:rsidRPr="00230FBE">
        <w:rPr>
          <w:b/>
          <w:sz w:val="24"/>
        </w:rPr>
        <w:t>Réalisé par : _______________________________</w:t>
      </w:r>
      <w:r>
        <w:rPr>
          <w:b/>
          <w:sz w:val="24"/>
        </w:rPr>
        <w:t xml:space="preserve">                                                                </w:t>
      </w:r>
      <w:r w:rsidRPr="00230FBE">
        <w:rPr>
          <w:b/>
          <w:sz w:val="24"/>
        </w:rPr>
        <w:t>Date : ________________________________</w:t>
      </w:r>
    </w:p>
    <w:sectPr w:rsidR="00230FBE" w:rsidRPr="00230FBE" w:rsidSect="00960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B166" w14:textId="77777777" w:rsidR="004C2044" w:rsidRDefault="004C2044" w:rsidP="00DD2000">
      <w:pPr>
        <w:spacing w:after="0" w:line="240" w:lineRule="auto"/>
      </w:pPr>
      <w:r>
        <w:separator/>
      </w:r>
    </w:p>
  </w:endnote>
  <w:endnote w:type="continuationSeparator" w:id="0">
    <w:p w14:paraId="25BF5F2E" w14:textId="77777777" w:rsidR="004C2044" w:rsidRDefault="004C2044" w:rsidP="00D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AB68" w14:textId="77777777" w:rsidR="00660E37" w:rsidRDefault="00660E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2589" w14:textId="77777777" w:rsidR="00660E37" w:rsidRDefault="00660E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00CF" w14:textId="77777777" w:rsidR="00660E37" w:rsidRDefault="00660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AB2" w14:textId="77777777" w:rsidR="004C2044" w:rsidRDefault="004C2044" w:rsidP="00DD2000">
      <w:pPr>
        <w:spacing w:after="0" w:line="240" w:lineRule="auto"/>
      </w:pPr>
      <w:r>
        <w:separator/>
      </w:r>
    </w:p>
  </w:footnote>
  <w:footnote w:type="continuationSeparator" w:id="0">
    <w:p w14:paraId="070F984B" w14:textId="77777777" w:rsidR="004C2044" w:rsidRDefault="004C2044" w:rsidP="00D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F3B" w14:textId="77777777" w:rsidR="00660E37" w:rsidRDefault="00660E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E249" w14:textId="77777777" w:rsidR="00660E37" w:rsidRDefault="00660E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B885" w14:textId="77777777" w:rsidR="00660E37" w:rsidRDefault="00660E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00"/>
    <w:rsid w:val="00081852"/>
    <w:rsid w:val="000D3868"/>
    <w:rsid w:val="00230FBE"/>
    <w:rsid w:val="002F2250"/>
    <w:rsid w:val="0030011E"/>
    <w:rsid w:val="00312E45"/>
    <w:rsid w:val="00467631"/>
    <w:rsid w:val="004A5E7C"/>
    <w:rsid w:val="004C2044"/>
    <w:rsid w:val="0051557C"/>
    <w:rsid w:val="00653141"/>
    <w:rsid w:val="00660E37"/>
    <w:rsid w:val="006673B9"/>
    <w:rsid w:val="007B57CB"/>
    <w:rsid w:val="007E1345"/>
    <w:rsid w:val="008A1293"/>
    <w:rsid w:val="008C6000"/>
    <w:rsid w:val="008D048A"/>
    <w:rsid w:val="008E424F"/>
    <w:rsid w:val="009330EA"/>
    <w:rsid w:val="00941D7A"/>
    <w:rsid w:val="00960057"/>
    <w:rsid w:val="00A567AD"/>
    <w:rsid w:val="00AF5C6C"/>
    <w:rsid w:val="00C51947"/>
    <w:rsid w:val="00C90A45"/>
    <w:rsid w:val="00D55359"/>
    <w:rsid w:val="00D62B8D"/>
    <w:rsid w:val="00DD2000"/>
    <w:rsid w:val="00E30D4F"/>
    <w:rsid w:val="00EC555E"/>
    <w:rsid w:val="00EF48B7"/>
    <w:rsid w:val="00F21CDA"/>
    <w:rsid w:val="00F27E72"/>
    <w:rsid w:val="00F51404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20F52"/>
  <w15:docId w15:val="{1B7DCA18-EBB5-444E-9D1F-DF01887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000"/>
  </w:style>
  <w:style w:type="paragraph" w:styleId="Pieddepage">
    <w:name w:val="footer"/>
    <w:basedOn w:val="Normal"/>
    <w:link w:val="PieddepageCar"/>
    <w:uiPriority w:val="99"/>
    <w:unhideWhenUsed/>
    <w:rsid w:val="00DD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000"/>
  </w:style>
  <w:style w:type="table" w:styleId="Grilledutableau">
    <w:name w:val="Table Grid"/>
    <w:basedOn w:val="TableauNormal"/>
    <w:uiPriority w:val="59"/>
    <w:rsid w:val="00D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Couture</dc:creator>
  <cp:lastModifiedBy>Marie-Pierre Vezina</cp:lastModifiedBy>
  <cp:revision>2</cp:revision>
  <cp:lastPrinted>2016-08-19T14:25:00Z</cp:lastPrinted>
  <dcterms:created xsi:type="dcterms:W3CDTF">2021-09-15T19:04:00Z</dcterms:created>
  <dcterms:modified xsi:type="dcterms:W3CDTF">2021-09-15T19:04:00Z</dcterms:modified>
</cp:coreProperties>
</file>