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5CC2" w14:textId="7A04C627" w:rsidR="00F01724" w:rsidRPr="00F01724" w:rsidRDefault="00F01724" w:rsidP="007A2A67">
      <w:pPr>
        <w:spacing w:after="160" w:line="259" w:lineRule="auto"/>
        <w:ind w:right="-207"/>
        <w:rPr>
          <w:rFonts w:ascii="Calibri" w:eastAsia="Calibri" w:hAnsi="Calibri" w:cs="Times New Roman"/>
        </w:rPr>
      </w:pPr>
      <w:r>
        <w:t>Le présent plan d’implantation s’avère l’outil que nous vous proposons afin de faciliter la mise en place du programme de travail en hauteur dans votre organisation. Les étapes à suivre y sont indiquées et nous recommandons qu’elles soient réalisées selon un échéancier que vous aurez vous-même fixé. En premier lieu, nous vous invitons à prendre connaissance de l’ensemble des éléments contenus au plan d’implantation. En deuxième lieu, vous devez choisir un responsable ainsi qu’une date d’échéance pour chacun des moyens de correction et des moyens de contrôle.</w:t>
      </w:r>
    </w:p>
    <w:tbl>
      <w:tblPr>
        <w:tblStyle w:val="Grilledutableau"/>
        <w:tblW w:w="13036" w:type="dxa"/>
        <w:tblCellMar>
          <w:top w:w="57" w:type="dxa"/>
          <w:bottom w:w="57" w:type="dxa"/>
        </w:tblCellMar>
        <w:tblLook w:val="04A0" w:firstRow="1" w:lastRow="0" w:firstColumn="1" w:lastColumn="0" w:noHBand="0" w:noVBand="1"/>
      </w:tblPr>
      <w:tblGrid>
        <w:gridCol w:w="440"/>
        <w:gridCol w:w="2908"/>
        <w:gridCol w:w="5880"/>
        <w:gridCol w:w="1976"/>
        <w:gridCol w:w="1832"/>
      </w:tblGrid>
      <w:tr w:rsidR="00A80791" w:rsidRPr="00A80791" w14:paraId="63E81086" w14:textId="77777777" w:rsidTr="00A24F55">
        <w:trPr>
          <w:cantSplit/>
          <w:trHeight w:val="222"/>
        </w:trPr>
        <w:tc>
          <w:tcPr>
            <w:tcW w:w="13036" w:type="dxa"/>
            <w:gridSpan w:val="5"/>
            <w:tcBorders>
              <w:top w:val="nil"/>
              <w:left w:val="nil"/>
              <w:bottom w:val="nil"/>
              <w:right w:val="nil"/>
            </w:tcBorders>
            <w:shd w:val="clear" w:color="auto" w:fill="FFFFFF" w:themeFill="background1"/>
          </w:tcPr>
          <w:p w14:paraId="5148761D" w14:textId="120B06D1" w:rsidR="00A80791" w:rsidRPr="00A24F55" w:rsidRDefault="00A80791" w:rsidP="00A80791">
            <w:pPr>
              <w:rPr>
                <w:b/>
                <w:color w:val="E2AC00"/>
                <w:sz w:val="24"/>
                <w:szCs w:val="24"/>
              </w:rPr>
            </w:pPr>
            <w:r w:rsidRPr="00C20809">
              <w:rPr>
                <w:b/>
                <w:color w:val="E2AC00"/>
                <w:sz w:val="36"/>
                <w:szCs w:val="36"/>
              </w:rPr>
              <w:t>Moyens de correction</w:t>
            </w:r>
          </w:p>
        </w:tc>
      </w:tr>
      <w:tr w:rsidR="00A80791" w14:paraId="3CFA96F5" w14:textId="77777777" w:rsidTr="00A24F55">
        <w:trPr>
          <w:cantSplit/>
          <w:trHeight w:val="149"/>
        </w:trPr>
        <w:tc>
          <w:tcPr>
            <w:tcW w:w="3348" w:type="dxa"/>
            <w:gridSpan w:val="2"/>
            <w:tcBorders>
              <w:top w:val="nil"/>
              <w:left w:val="nil"/>
              <w:bottom w:val="single" w:sz="2" w:space="0" w:color="0F243E" w:themeColor="text2" w:themeShade="80"/>
              <w:right w:val="single" w:sz="2" w:space="0" w:color="0F243E" w:themeColor="text2" w:themeShade="80"/>
            </w:tcBorders>
            <w:shd w:val="clear" w:color="auto" w:fill="17365D" w:themeFill="text2" w:themeFillShade="BF"/>
          </w:tcPr>
          <w:p w14:paraId="12068DAC" w14:textId="4DCDA6FB" w:rsidR="00A80791" w:rsidRPr="001249AD" w:rsidRDefault="00A80791" w:rsidP="008D3A35">
            <w:pPr>
              <w:jc w:val="center"/>
              <w:rPr>
                <w:b/>
              </w:rPr>
            </w:pPr>
            <w:bookmarkStart w:id="0" w:name="_Hlk67992594"/>
            <w:r w:rsidRPr="001249AD">
              <w:rPr>
                <w:b/>
              </w:rPr>
              <w:t>Étapes</w:t>
            </w:r>
          </w:p>
        </w:tc>
        <w:tc>
          <w:tcPr>
            <w:tcW w:w="5880" w:type="dxa"/>
            <w:tcBorders>
              <w:top w:val="nil"/>
              <w:left w:val="single" w:sz="2" w:space="0" w:color="0F243E" w:themeColor="text2" w:themeShade="80"/>
              <w:bottom w:val="single" w:sz="2" w:space="0" w:color="0F243E" w:themeColor="text2" w:themeShade="80"/>
              <w:right w:val="single" w:sz="2" w:space="0" w:color="0F243E" w:themeColor="text2" w:themeShade="80"/>
            </w:tcBorders>
            <w:shd w:val="clear" w:color="auto" w:fill="17365D" w:themeFill="text2" w:themeFillShade="BF"/>
          </w:tcPr>
          <w:p w14:paraId="2075B1B0" w14:textId="77777777" w:rsidR="00A80791" w:rsidRPr="001249AD" w:rsidRDefault="00A80791" w:rsidP="008D3A35">
            <w:pPr>
              <w:jc w:val="center"/>
              <w:rPr>
                <w:b/>
              </w:rPr>
            </w:pPr>
            <w:r w:rsidRPr="001249AD">
              <w:rPr>
                <w:b/>
              </w:rPr>
              <w:t>Description</w:t>
            </w:r>
          </w:p>
        </w:tc>
        <w:tc>
          <w:tcPr>
            <w:tcW w:w="1976" w:type="dxa"/>
            <w:tcBorders>
              <w:top w:val="nil"/>
              <w:left w:val="single" w:sz="2" w:space="0" w:color="0F243E" w:themeColor="text2" w:themeShade="80"/>
              <w:bottom w:val="single" w:sz="2" w:space="0" w:color="0F243E" w:themeColor="text2" w:themeShade="80"/>
              <w:right w:val="single" w:sz="2" w:space="0" w:color="0F243E" w:themeColor="text2" w:themeShade="80"/>
            </w:tcBorders>
            <w:shd w:val="clear" w:color="auto" w:fill="17365D" w:themeFill="text2" w:themeFillShade="BF"/>
          </w:tcPr>
          <w:p w14:paraId="5E2E7B3C" w14:textId="77777777" w:rsidR="00A80791" w:rsidRPr="001249AD" w:rsidRDefault="00A80791" w:rsidP="008D3A35">
            <w:pPr>
              <w:jc w:val="center"/>
              <w:rPr>
                <w:b/>
              </w:rPr>
            </w:pPr>
            <w:r w:rsidRPr="001249AD">
              <w:rPr>
                <w:b/>
              </w:rPr>
              <w:t>Responsables</w:t>
            </w:r>
          </w:p>
        </w:tc>
        <w:tc>
          <w:tcPr>
            <w:tcW w:w="1832" w:type="dxa"/>
            <w:tcBorders>
              <w:top w:val="nil"/>
              <w:left w:val="single" w:sz="2" w:space="0" w:color="0F243E" w:themeColor="text2" w:themeShade="80"/>
              <w:bottom w:val="single" w:sz="2" w:space="0" w:color="0F243E" w:themeColor="text2" w:themeShade="80"/>
              <w:right w:val="nil"/>
            </w:tcBorders>
            <w:shd w:val="clear" w:color="auto" w:fill="17365D" w:themeFill="text2" w:themeFillShade="BF"/>
          </w:tcPr>
          <w:p w14:paraId="383AA5E2" w14:textId="77777777" w:rsidR="00A80791" w:rsidRPr="001249AD" w:rsidRDefault="00A80791" w:rsidP="008D3A35">
            <w:pPr>
              <w:jc w:val="center"/>
              <w:rPr>
                <w:b/>
              </w:rPr>
            </w:pPr>
            <w:r w:rsidRPr="001249AD">
              <w:rPr>
                <w:b/>
              </w:rPr>
              <w:t>Échéancier</w:t>
            </w:r>
          </w:p>
        </w:tc>
      </w:tr>
      <w:tr w:rsidR="004962D7" w14:paraId="19932273" w14:textId="77777777" w:rsidTr="00A24F55">
        <w:trPr>
          <w:cantSplit/>
          <w:trHeight w:val="454"/>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0F451541" w14:textId="6C98A6FF" w:rsidR="001146B7" w:rsidRDefault="001146B7" w:rsidP="005C46E7">
            <w:r>
              <w:t>1</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0C2BCDE3" w14:textId="40E0E885" w:rsidR="001146B7" w:rsidRPr="001249AD" w:rsidRDefault="001146B7" w:rsidP="005C46E7">
            <w:r>
              <w:t>Obtenir l’appui de la direction</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078634B1" w14:textId="5F2CE2E4" w:rsidR="001146B7" w:rsidRPr="001249AD" w:rsidRDefault="001146B7" w:rsidP="005C46E7">
            <w:pPr>
              <w:autoSpaceDE w:val="0"/>
              <w:autoSpaceDN w:val="0"/>
              <w:adjustRightInd w:val="0"/>
              <w:rPr>
                <w:rFonts w:cs="Calibri"/>
              </w:rPr>
            </w:pPr>
            <w:r>
              <w:rPr>
                <w:rFonts w:cs="Calibri"/>
              </w:rPr>
              <w:t>L’appui de la direction assurera la pérennité du projet.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2A018C2" w14:textId="77777777" w:rsidR="001146B7" w:rsidRDefault="001146B7" w:rsidP="005855E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12E295A2" w14:textId="77777777" w:rsidR="001146B7" w:rsidRDefault="001146B7" w:rsidP="005855E3">
            <w:pPr>
              <w:jc w:val="center"/>
              <w:rPr>
                <w:b/>
                <w:sz w:val="28"/>
              </w:rPr>
            </w:pPr>
          </w:p>
        </w:tc>
      </w:tr>
      <w:tr w:rsidR="004962D7" w14:paraId="78B10876" w14:textId="77777777" w:rsidTr="00A24F55">
        <w:trPr>
          <w:cantSplit/>
          <w:trHeight w:val="347"/>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7087E4D8" w14:textId="374B7973" w:rsidR="001146B7" w:rsidRPr="001249AD" w:rsidRDefault="001146B7" w:rsidP="005C46E7">
            <w:r>
              <w:t>2</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747E1642" w14:textId="7EF777BD" w:rsidR="001146B7" w:rsidRPr="001249AD" w:rsidRDefault="001146B7" w:rsidP="005C46E7">
            <w:r w:rsidRPr="001249AD">
              <w:t xml:space="preserve">Désigner </w:t>
            </w:r>
            <w:r w:rsidR="00151382">
              <w:t>les</w:t>
            </w:r>
            <w:r w:rsidRPr="001249AD">
              <w:t xml:space="preserve"> personne</w:t>
            </w:r>
            <w:r w:rsidR="00EC53A6">
              <w:t xml:space="preserve">s </w:t>
            </w:r>
            <w:r w:rsidRPr="001249AD">
              <w:t>responsable</w:t>
            </w:r>
            <w:r w:rsidR="00EC53A6">
              <w:t xml:space="preserve">s </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428D957" w14:textId="65BFA866" w:rsidR="001146B7" w:rsidRPr="001249AD" w:rsidRDefault="001146B7" w:rsidP="005C46E7">
            <w:pPr>
              <w:autoSpaceDE w:val="0"/>
              <w:autoSpaceDN w:val="0"/>
              <w:adjustRightInd w:val="0"/>
              <w:rPr>
                <w:rFonts w:cs="Calibri"/>
              </w:rPr>
            </w:pPr>
            <w:r w:rsidRPr="001249AD">
              <w:rPr>
                <w:rFonts w:cs="Calibri"/>
              </w:rPr>
              <w:t>Personne</w:t>
            </w:r>
            <w:r w:rsidR="00151382">
              <w:rPr>
                <w:rFonts w:cs="Calibri"/>
              </w:rPr>
              <w:t>s</w:t>
            </w:r>
            <w:r w:rsidRPr="001249AD">
              <w:rPr>
                <w:rFonts w:cs="Calibri"/>
              </w:rPr>
              <w:t xml:space="preserve"> qui ser</w:t>
            </w:r>
            <w:r w:rsidR="00151382">
              <w:rPr>
                <w:rFonts w:cs="Calibri"/>
              </w:rPr>
              <w:t>ont</w:t>
            </w:r>
            <w:r w:rsidRPr="001249AD">
              <w:rPr>
                <w:rFonts w:cs="Calibri"/>
              </w:rPr>
              <w:t xml:space="preserve"> responsable</w:t>
            </w:r>
            <w:r w:rsidR="00EC53A6">
              <w:rPr>
                <w:rFonts w:cs="Calibri"/>
              </w:rPr>
              <w:t xml:space="preserve">s </w:t>
            </w:r>
            <w:r w:rsidRPr="001249AD">
              <w:rPr>
                <w:rFonts w:cs="Calibri"/>
              </w:rPr>
              <w:t>d’administrer</w:t>
            </w:r>
            <w:r>
              <w:rPr>
                <w:rFonts w:cs="Calibri"/>
              </w:rPr>
              <w:t xml:space="preserve"> et d’assurer le suivi</w:t>
            </w:r>
            <w:r w:rsidRPr="001249AD">
              <w:rPr>
                <w:rFonts w:cs="Calibri"/>
              </w:rPr>
              <w:t xml:space="preserve"> </w:t>
            </w:r>
            <w:r>
              <w:rPr>
                <w:rFonts w:cs="Calibri"/>
              </w:rPr>
              <w:t>du</w:t>
            </w:r>
            <w:r w:rsidRPr="001249AD">
              <w:rPr>
                <w:rFonts w:cs="Calibri"/>
              </w:rPr>
              <w:t xml:space="preserve"> programme</w:t>
            </w:r>
            <w:r w:rsidR="00151382">
              <w:rPr>
                <w:rFonts w:cs="Calibri"/>
              </w:rPr>
              <w:t xml:space="preserve"> à partir du programme</w:t>
            </w:r>
            <w:r w:rsidR="00EC53A6">
              <w:rPr>
                <w:rFonts w:cs="Calibri"/>
              </w:rPr>
              <w:t>-</w:t>
            </w:r>
            <w:r w:rsidR="00151382">
              <w:rPr>
                <w:rFonts w:cs="Calibri"/>
              </w:rPr>
              <w:t>cadre.</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E269FB8" w14:textId="77777777" w:rsidR="001146B7" w:rsidRDefault="001146B7" w:rsidP="005855E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3ACA29C4" w14:textId="77777777" w:rsidR="001146B7" w:rsidRDefault="001146B7" w:rsidP="005855E3">
            <w:pPr>
              <w:jc w:val="center"/>
              <w:rPr>
                <w:b/>
                <w:sz w:val="28"/>
              </w:rPr>
            </w:pPr>
          </w:p>
        </w:tc>
      </w:tr>
      <w:tr w:rsidR="004962D7" w14:paraId="335A6AFB" w14:textId="77777777" w:rsidTr="00A24F55">
        <w:trPr>
          <w:cantSplit/>
          <w:trHeight w:val="1113"/>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7CEFCC71" w14:textId="657F1182" w:rsidR="001146B7" w:rsidRDefault="001146B7" w:rsidP="005C46E7">
            <w:r>
              <w:t>3</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1D92ECB4" w14:textId="28631A2C" w:rsidR="001146B7" w:rsidRPr="001249AD" w:rsidRDefault="001146B7" w:rsidP="005C46E7">
            <w:r>
              <w:t>Identifier les membres de l’équipe qui participeront au projet</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88F69FE" w14:textId="3CE5582C" w:rsidR="001146B7" w:rsidRPr="001249AD" w:rsidRDefault="00136E8E" w:rsidP="005C46E7">
            <w:pPr>
              <w:autoSpaceDE w:val="0"/>
              <w:autoSpaceDN w:val="0"/>
              <w:adjustRightInd w:val="0"/>
              <w:rPr>
                <w:rFonts w:cs="Calibri"/>
              </w:rPr>
            </w:pPr>
            <w:r>
              <w:rPr>
                <w:rFonts w:cs="Calibri"/>
              </w:rPr>
              <w:t>C</w:t>
            </w:r>
            <w:r w:rsidR="001146B7">
              <w:rPr>
                <w:rFonts w:cs="Calibri"/>
              </w:rPr>
              <w:t xml:space="preserve">ibler les travailleurs qui effectuent souvent </w:t>
            </w:r>
            <w:r>
              <w:rPr>
                <w:rFonts w:cs="Calibri"/>
              </w:rPr>
              <w:t>d</w:t>
            </w:r>
            <w:r w:rsidR="001146B7">
              <w:rPr>
                <w:rFonts w:cs="Calibri"/>
              </w:rPr>
              <w:t xml:space="preserve">es travaux en hauteur afin de s’assurer que les méthodes de travail seront adéquates pour eux. Leur participation est </w:t>
            </w:r>
            <w:r w:rsidR="00A80791">
              <w:rPr>
                <w:rFonts w:cs="Calibri"/>
              </w:rPr>
              <w:t>importante</w:t>
            </w:r>
            <w:r w:rsidR="001146B7">
              <w:rPr>
                <w:rFonts w:cs="Calibri"/>
              </w:rPr>
              <w:t xml:space="preserve"> (ex</w:t>
            </w:r>
            <w:r w:rsidR="004A3D47">
              <w:rPr>
                <w:rFonts w:cs="Calibri"/>
              </w:rPr>
              <w:t>.</w:t>
            </w:r>
            <w:r w:rsidR="001146B7">
              <w:rPr>
                <w:rFonts w:cs="Calibri"/>
              </w:rPr>
              <w:t xml:space="preserve"> : conciergerie, maintenance, électricien, </w:t>
            </w:r>
            <w:r w:rsidR="001613A4">
              <w:rPr>
                <w:rFonts w:cs="Calibri"/>
              </w:rPr>
              <w:t>etc.</w:t>
            </w:r>
            <w:r w:rsidR="001146B7">
              <w:rPr>
                <w:rFonts w:cs="Calibri"/>
              </w:rPr>
              <w: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0E1FC62" w14:textId="77777777" w:rsidR="001146B7" w:rsidRDefault="001146B7" w:rsidP="005855E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189BFD8B" w14:textId="77777777" w:rsidR="001146B7" w:rsidRDefault="001146B7" w:rsidP="005855E3">
            <w:pPr>
              <w:jc w:val="center"/>
              <w:rPr>
                <w:b/>
                <w:sz w:val="28"/>
              </w:rPr>
            </w:pPr>
          </w:p>
        </w:tc>
      </w:tr>
      <w:tr w:rsidR="004962D7" w14:paraId="7D18870E" w14:textId="77777777" w:rsidTr="00A24F55">
        <w:trPr>
          <w:cantSplit/>
          <w:trHeight w:val="761"/>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3CFD26CE" w14:textId="56CF952C" w:rsidR="001146B7" w:rsidRDefault="001146B7" w:rsidP="005C46E7">
            <w:r>
              <w:t>4</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D50643D" w14:textId="660D87B0" w:rsidR="001146B7" w:rsidRDefault="001146B7" w:rsidP="005C46E7">
            <w:r>
              <w:t xml:space="preserve">Effectuer l’analyse des situations occasionnant un </w:t>
            </w:r>
            <w:r w:rsidR="00CD4A28">
              <w:t>risque</w:t>
            </w:r>
            <w:r>
              <w:t xml:space="preserve"> de chute</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0225E5D" w14:textId="7B5B0F2C" w:rsidR="001146B7" w:rsidRDefault="001146B7" w:rsidP="005C46E7">
            <w:pPr>
              <w:autoSpaceDE w:val="0"/>
              <w:autoSpaceDN w:val="0"/>
              <w:adjustRightInd w:val="0"/>
              <w:rPr>
                <w:rFonts w:cs="Calibri"/>
              </w:rPr>
            </w:pPr>
            <w:r>
              <w:rPr>
                <w:rFonts w:cs="Calibri"/>
              </w:rPr>
              <w:t>Répertorier l’ensemble des tâches qui occasionnent un risque de chute, par exemple </w:t>
            </w:r>
            <w:r w:rsidR="001613A4">
              <w:rPr>
                <w:rFonts w:cs="Calibri"/>
              </w:rPr>
              <w:t xml:space="preserve">le </w:t>
            </w:r>
            <w:r>
              <w:rPr>
                <w:rFonts w:cs="Calibri"/>
              </w:rPr>
              <w:t xml:space="preserve">changement de luminaire, </w:t>
            </w:r>
            <w:r w:rsidR="001613A4">
              <w:rPr>
                <w:rFonts w:cs="Calibri"/>
              </w:rPr>
              <w:t xml:space="preserve">le </w:t>
            </w:r>
            <w:r>
              <w:rPr>
                <w:rFonts w:cs="Calibri"/>
              </w:rPr>
              <w:t>déneigement d</w:t>
            </w:r>
            <w:r w:rsidR="001F07C1">
              <w:rPr>
                <w:rFonts w:cs="Calibri"/>
              </w:rPr>
              <w:t>’</w:t>
            </w:r>
            <w:r>
              <w:rPr>
                <w:rFonts w:cs="Calibri"/>
              </w:rPr>
              <w:t>u</w:t>
            </w:r>
            <w:r w:rsidR="001F07C1">
              <w:rPr>
                <w:rFonts w:cs="Calibri"/>
              </w:rPr>
              <w:t>n</w:t>
            </w:r>
            <w:r>
              <w:rPr>
                <w:rFonts w:cs="Calibri"/>
              </w:rPr>
              <w:t xml:space="preserve"> toit plat, </w:t>
            </w:r>
            <w:r w:rsidR="001613A4">
              <w:rPr>
                <w:rFonts w:cs="Calibri"/>
              </w:rPr>
              <w:t>l’</w:t>
            </w:r>
            <w:r>
              <w:rPr>
                <w:rFonts w:cs="Calibri"/>
              </w:rPr>
              <w:t>inspection sur le toit</w:t>
            </w:r>
            <w:r w:rsidR="001613A4">
              <w:rPr>
                <w:rFonts w:cs="Calibri"/>
              </w:rPr>
              <w:t>,</w:t>
            </w:r>
            <w:r>
              <w:rPr>
                <w:rFonts w:cs="Calibri"/>
              </w:rPr>
              <w:t xml:space="preserve"> etc.</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618AE655" w14:textId="77777777" w:rsidR="001146B7" w:rsidRDefault="001146B7" w:rsidP="005855E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28B32ED6" w14:textId="77777777" w:rsidR="001146B7" w:rsidRDefault="001146B7" w:rsidP="005855E3">
            <w:pPr>
              <w:jc w:val="center"/>
              <w:rPr>
                <w:b/>
                <w:sz w:val="28"/>
              </w:rPr>
            </w:pPr>
          </w:p>
        </w:tc>
      </w:tr>
      <w:tr w:rsidR="004962D7" w14:paraId="7571F447" w14:textId="77777777" w:rsidTr="00A24F55">
        <w:trPr>
          <w:cantSplit/>
          <w:trHeight w:val="1190"/>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193D8B9E" w14:textId="749A96DE" w:rsidR="001146B7" w:rsidRDefault="001146B7" w:rsidP="007762A6">
            <w:r>
              <w:t>5</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3A9E82EA" w14:textId="55953ECB" w:rsidR="001146B7" w:rsidRPr="001249AD" w:rsidRDefault="001146B7" w:rsidP="007762A6">
            <w:r>
              <w:t xml:space="preserve">Évaluation </w:t>
            </w:r>
            <w:r w:rsidR="0009052F">
              <w:t>des méthodes</w:t>
            </w:r>
            <w:r>
              <w:t xml:space="preserve"> actuellement en place</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6E112226" w14:textId="15F49995" w:rsidR="00461027" w:rsidRPr="001249AD" w:rsidRDefault="001146B7" w:rsidP="007762A6">
            <w:pPr>
              <w:autoSpaceDE w:val="0"/>
              <w:autoSpaceDN w:val="0"/>
              <w:adjustRightInd w:val="0"/>
              <w:rPr>
                <w:rFonts w:cs="Calibri"/>
                <w:color w:val="000000"/>
              </w:rPr>
            </w:pPr>
            <w:r w:rsidRPr="001249AD">
              <w:rPr>
                <w:rFonts w:cs="Calibri"/>
              </w:rPr>
              <w:t xml:space="preserve">En partenariat avec </w:t>
            </w:r>
            <w:r w:rsidR="0009052F">
              <w:rPr>
                <w:rFonts w:cs="Calibri"/>
              </w:rPr>
              <w:t>l</w:t>
            </w:r>
            <w:r w:rsidRPr="001249AD">
              <w:rPr>
                <w:rFonts w:cs="Calibri"/>
              </w:rPr>
              <w:t>es employés concernés et</w:t>
            </w:r>
            <w:r w:rsidRPr="001249AD">
              <w:rPr>
                <w:rFonts w:cs="Calibri"/>
                <w:color w:val="000000"/>
              </w:rPr>
              <w:t xml:space="preserve"> </w:t>
            </w:r>
            <w:r>
              <w:rPr>
                <w:rFonts w:cs="Calibri"/>
                <w:color w:val="000000"/>
              </w:rPr>
              <w:t>expérimentés</w:t>
            </w:r>
            <w:r w:rsidRPr="001249AD">
              <w:rPr>
                <w:rFonts w:cs="Calibri"/>
                <w:color w:val="000000"/>
              </w:rPr>
              <w:t xml:space="preserve"> sur l’entretien des équipements, machines ou procédés de tous les établissements et infrastructures, répertorier toutes </w:t>
            </w:r>
            <w:r w:rsidR="00D6712B">
              <w:rPr>
                <w:rFonts w:cs="Calibri"/>
                <w:color w:val="000000"/>
              </w:rPr>
              <w:t xml:space="preserve">les </w:t>
            </w:r>
            <w:r w:rsidRPr="001249AD">
              <w:rPr>
                <w:rFonts w:cs="Calibri"/>
                <w:color w:val="000000"/>
              </w:rPr>
              <w:t xml:space="preserve">procédures de travail </w:t>
            </w:r>
            <w:r>
              <w:rPr>
                <w:rFonts w:cs="Calibri"/>
                <w:color w:val="000000"/>
              </w:rPr>
              <w:t>relatives</w:t>
            </w:r>
            <w:r w:rsidRPr="001249AD">
              <w:rPr>
                <w:rFonts w:cs="Calibri"/>
                <w:color w:val="000000"/>
              </w:rPr>
              <w:t xml:space="preserve"> au </w:t>
            </w:r>
            <w:r>
              <w:rPr>
                <w:rFonts w:cs="Calibri"/>
                <w:color w:val="000000"/>
              </w:rPr>
              <w:t xml:space="preserve">travail en hauteur déjà </w:t>
            </w:r>
            <w:r w:rsidR="00D6712B">
              <w:rPr>
                <w:rFonts w:cs="Calibri"/>
                <w:color w:val="000000"/>
              </w:rPr>
              <w:t>en place</w:t>
            </w:r>
            <w:r>
              <w:rPr>
                <w:rFonts w:cs="Calibri"/>
                <w:color w:val="000000"/>
              </w:rPr>
              <w: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257EF29" w14:textId="77777777" w:rsidR="001146B7" w:rsidRDefault="001146B7" w:rsidP="005855E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227ECC57" w14:textId="77777777" w:rsidR="001146B7" w:rsidRDefault="001146B7" w:rsidP="005855E3">
            <w:pPr>
              <w:jc w:val="center"/>
              <w:rPr>
                <w:b/>
                <w:sz w:val="28"/>
              </w:rPr>
            </w:pPr>
          </w:p>
        </w:tc>
      </w:tr>
      <w:bookmarkEnd w:id="0"/>
      <w:tr w:rsidR="004962D7" w14:paraId="3DE8D16B" w14:textId="77777777" w:rsidTr="00A24F55">
        <w:trPr>
          <w:cantSplit/>
          <w:trHeight w:val="1190"/>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5AF02CD8" w14:textId="1F9D16B1" w:rsidR="004962D7" w:rsidRDefault="004962D7" w:rsidP="004962D7">
            <w:r>
              <w:lastRenderedPageBreak/>
              <w:t>6</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AF54A7C" w14:textId="5E970699" w:rsidR="004962D7" w:rsidRDefault="004962D7" w:rsidP="004962D7">
            <w:r w:rsidRPr="001249AD">
              <w:t xml:space="preserve">Élaborer </w:t>
            </w:r>
            <w:r>
              <w:t xml:space="preserve">et/ou compléter le programme </w:t>
            </w:r>
            <w:r w:rsidRPr="001249AD">
              <w:t xml:space="preserve">général de </w:t>
            </w:r>
            <w:r>
              <w:t>travail en hauteur à partir du programme</w:t>
            </w:r>
            <w:r w:rsidR="00EC53A6">
              <w:t>-</w:t>
            </w:r>
            <w:r>
              <w:t xml:space="preserve">cadre. </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3F376617" w14:textId="49974EA5" w:rsidR="004962D7" w:rsidRPr="001249AD" w:rsidRDefault="004962D7" w:rsidP="004962D7">
            <w:pPr>
              <w:autoSpaceDE w:val="0"/>
              <w:autoSpaceDN w:val="0"/>
              <w:adjustRightInd w:val="0"/>
              <w:rPr>
                <w:rFonts w:cs="Calibri"/>
              </w:rPr>
            </w:pPr>
            <w:r w:rsidRPr="00A80791">
              <w:t>À partir des modèle</w:t>
            </w:r>
            <w:r w:rsidR="00EC53A6">
              <w:t xml:space="preserve">s </w:t>
            </w:r>
            <w:r w:rsidRPr="00A80791">
              <w:t>de documents, élaborer et/ou compléter le programme</w:t>
            </w:r>
            <w:r w:rsidR="001613A4">
              <w:t>-cadre</w:t>
            </w:r>
            <w:r w:rsidRPr="00A80791">
              <w:t xml:space="preserve"> de travail en hauteur pour l’ensemble des établissements selon les besoins des différents services et départements (objectifs, rôles et responsabilités, portée, modalités, étapes, procédures, formations, gestion des équipements, etc.) ainsi que les procédures pour les situations particulières (déneigement du toit, travaux sur toit plat ou en pente, etc.). Il est fortement recommandé de favoriser la hiérarchie proposé</w:t>
            </w:r>
            <w:r w:rsidR="0009052F">
              <w:t>e</w:t>
            </w:r>
            <w:r w:rsidRPr="00A80791">
              <w:t xml:space="preserve"> (réduction à la source, </w:t>
            </w:r>
            <w:r w:rsidR="00D6712B">
              <w:t>protection collective et protection individuelle</w:t>
            </w:r>
            <w:r w:rsidRPr="00A80791">
              <w:t>)</w:t>
            </w:r>
            <w:r w:rsidR="0009052F">
              <w:t xml:space="preserve"> dans le programme</w:t>
            </w:r>
            <w:r w:rsidR="00EC53A6">
              <w:t>-</w:t>
            </w:r>
            <w:r w:rsidR="0009052F">
              <w:t>cadre.</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B546189" w14:textId="77777777" w:rsidR="004962D7" w:rsidRDefault="004962D7" w:rsidP="004962D7">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7F2EB529" w14:textId="77777777" w:rsidR="004962D7" w:rsidRDefault="004962D7" w:rsidP="004962D7">
            <w:pPr>
              <w:jc w:val="center"/>
              <w:rPr>
                <w:b/>
                <w:sz w:val="28"/>
              </w:rPr>
            </w:pPr>
          </w:p>
        </w:tc>
      </w:tr>
      <w:tr w:rsidR="002E1AC3" w14:paraId="22B3D108" w14:textId="77777777" w:rsidTr="00A24F55">
        <w:trPr>
          <w:cantSplit/>
          <w:trHeight w:val="580"/>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30762BA9" w14:textId="12FA4901" w:rsidR="002E1AC3" w:rsidRDefault="002E1AC3" w:rsidP="002E1AC3">
            <w:r>
              <w:t>7</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4075CFC1" w14:textId="0134A169" w:rsidR="002E1AC3" w:rsidRDefault="002E1AC3" w:rsidP="002E1AC3">
            <w:r w:rsidRPr="001249AD">
              <w:t xml:space="preserve">Procéder à l’inventaire des équipements </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02B00565" w14:textId="7DECD1AC" w:rsidR="002E1AC3" w:rsidRPr="001249AD" w:rsidRDefault="002E1AC3" w:rsidP="002E1AC3">
            <w:pPr>
              <w:autoSpaceDE w:val="0"/>
              <w:autoSpaceDN w:val="0"/>
              <w:adjustRightInd w:val="0"/>
              <w:rPr>
                <w:rFonts w:cs="Calibri"/>
              </w:rPr>
            </w:pPr>
            <w:r w:rsidRPr="00A80791">
              <w:t>Répertorier tous les équipements</w:t>
            </w:r>
            <w:r w:rsidR="00CD4A28">
              <w: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35CBA4D8" w14:textId="77777777" w:rsidR="002E1AC3" w:rsidRDefault="002E1AC3" w:rsidP="002E1AC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607FD24D" w14:textId="77777777" w:rsidR="002E1AC3" w:rsidRDefault="002E1AC3" w:rsidP="002E1AC3">
            <w:pPr>
              <w:jc w:val="center"/>
              <w:rPr>
                <w:b/>
                <w:sz w:val="28"/>
              </w:rPr>
            </w:pPr>
          </w:p>
        </w:tc>
      </w:tr>
      <w:tr w:rsidR="002E1AC3" w14:paraId="3D266D81" w14:textId="77777777" w:rsidTr="00A24F55">
        <w:trPr>
          <w:cantSplit/>
          <w:trHeight w:val="859"/>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5F6EABEB" w14:textId="21397445" w:rsidR="002E1AC3" w:rsidRDefault="002E1AC3" w:rsidP="002E1AC3">
            <w:r>
              <w:t>8</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33C63B86" w14:textId="09FE6AB4" w:rsidR="002E1AC3" w:rsidRPr="001249AD" w:rsidRDefault="002E1AC3" w:rsidP="002E1AC3">
            <w:r>
              <w:t xml:space="preserve">Mettre en place un plan d’action afin d’acquérir les nouveaux équipements </w:t>
            </w:r>
          </w:p>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56E665C2" w14:textId="532CB965" w:rsidR="002E1AC3" w:rsidRPr="00A80791" w:rsidRDefault="002E1AC3" w:rsidP="002E1AC3">
            <w:pPr>
              <w:autoSpaceDE w:val="0"/>
              <w:autoSpaceDN w:val="0"/>
              <w:adjustRightInd w:val="0"/>
            </w:pPr>
            <w:r w:rsidRPr="00A80791">
              <w:t>Élaborer un plan d’action afin de prévoir l’achat et l’entretien des équipements</w:t>
            </w:r>
            <w:r w:rsidR="00CD4A28">
              <w:t xml:space="preserve"> </w:t>
            </w:r>
            <w:r w:rsidR="00BA632C">
              <w:t xml:space="preserve">de </w:t>
            </w:r>
            <w:r w:rsidR="00BA632C" w:rsidRPr="005B0746">
              <w:rPr>
                <w:b/>
                <w:bCs/>
              </w:rPr>
              <w:t>l’annexe</w:t>
            </w:r>
            <w:r w:rsidR="004A3D47">
              <w:rPr>
                <w:b/>
                <w:bCs/>
              </w:rPr>
              <w:t> </w:t>
            </w:r>
            <w:r w:rsidR="00BA632C" w:rsidRPr="005B0746">
              <w:rPr>
                <w:b/>
                <w:bCs/>
              </w:rPr>
              <w:t>1 : Choix des équipements</w:t>
            </w:r>
            <w:r w:rsidR="00BA632C">
              <w: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5FDABAC3" w14:textId="77777777" w:rsidR="002E1AC3" w:rsidRDefault="002E1AC3" w:rsidP="002E1AC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653BAB45" w14:textId="77777777" w:rsidR="002E1AC3" w:rsidRDefault="002E1AC3" w:rsidP="002E1AC3">
            <w:pPr>
              <w:jc w:val="center"/>
              <w:rPr>
                <w:b/>
                <w:sz w:val="28"/>
              </w:rPr>
            </w:pPr>
          </w:p>
        </w:tc>
      </w:tr>
      <w:tr w:rsidR="002E1AC3" w14:paraId="29DD8F39" w14:textId="77777777" w:rsidTr="00A24F55">
        <w:trPr>
          <w:cantSplit/>
          <w:trHeight w:val="717"/>
        </w:trPr>
        <w:tc>
          <w:tcPr>
            <w:tcW w:w="440" w:type="dxa"/>
            <w:tcBorders>
              <w:top w:val="single" w:sz="2" w:space="0" w:color="0F243E" w:themeColor="text2" w:themeShade="80"/>
              <w:left w:val="nil"/>
              <w:bottom w:val="single" w:sz="2" w:space="0" w:color="0F243E" w:themeColor="text2" w:themeShade="80"/>
              <w:right w:val="single" w:sz="2" w:space="0" w:color="0F243E" w:themeColor="text2" w:themeShade="80"/>
            </w:tcBorders>
          </w:tcPr>
          <w:p w14:paraId="61FC53FB" w14:textId="7EB0A29E" w:rsidR="002E1AC3" w:rsidRDefault="00136E8E" w:rsidP="002E1AC3">
            <w:r>
              <w:t>9</w:t>
            </w:r>
          </w:p>
        </w:tc>
        <w:tc>
          <w:tcPr>
            <w:tcW w:w="2908"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56328FA3" w14:textId="6AC06390" w:rsidR="002E1AC3" w:rsidRPr="001249AD" w:rsidRDefault="002E1AC3" w:rsidP="002E1AC3">
            <w:r w:rsidRPr="001249AD">
              <w:t>Valider et approuver le</w:t>
            </w:r>
            <w:r>
              <w:t xml:space="preserve"> programme </w:t>
            </w:r>
            <w:r w:rsidR="00CD4A28">
              <w:t xml:space="preserve">de travail en hauteur </w:t>
            </w:r>
            <w:r>
              <w:t>et le plan d’action</w:t>
            </w:r>
          </w:p>
          <w:p w14:paraId="282EA43E" w14:textId="77777777" w:rsidR="002E1AC3" w:rsidRDefault="002E1AC3" w:rsidP="002E1AC3"/>
        </w:tc>
        <w:tc>
          <w:tcPr>
            <w:tcW w:w="5880"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205FB31F" w14:textId="078F538D" w:rsidR="002E1AC3" w:rsidRPr="00A80791" w:rsidRDefault="002E1AC3" w:rsidP="002E1AC3">
            <w:pPr>
              <w:autoSpaceDE w:val="0"/>
              <w:autoSpaceDN w:val="0"/>
              <w:adjustRightInd w:val="0"/>
            </w:pPr>
            <w:r w:rsidRPr="00A80791">
              <w:t xml:space="preserve">Faire approuver </w:t>
            </w:r>
            <w:r w:rsidR="00CD4A28">
              <w:t>le programme de travail en hauteur</w:t>
            </w:r>
            <w:r w:rsidRPr="00A80791">
              <w:t xml:space="preserve"> ainsi que le choix des équipements par la direction et l’équipe de travail</w:t>
            </w:r>
            <w:r w:rsidR="007A2B39">
              <w:t>.</w:t>
            </w:r>
          </w:p>
        </w:tc>
        <w:tc>
          <w:tcPr>
            <w:tcW w:w="1976" w:type="dxa"/>
            <w:tc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tcBorders>
          </w:tcPr>
          <w:p w14:paraId="12676283" w14:textId="77777777" w:rsidR="002E1AC3" w:rsidRDefault="002E1AC3" w:rsidP="002E1AC3">
            <w:pPr>
              <w:jc w:val="center"/>
              <w:rPr>
                <w:b/>
                <w:sz w:val="28"/>
              </w:rPr>
            </w:pPr>
          </w:p>
        </w:tc>
        <w:tc>
          <w:tcPr>
            <w:tcW w:w="1832" w:type="dxa"/>
            <w:tcBorders>
              <w:top w:val="single" w:sz="2" w:space="0" w:color="0F243E" w:themeColor="text2" w:themeShade="80"/>
              <w:left w:val="single" w:sz="2" w:space="0" w:color="0F243E" w:themeColor="text2" w:themeShade="80"/>
              <w:bottom w:val="single" w:sz="2" w:space="0" w:color="0F243E" w:themeColor="text2" w:themeShade="80"/>
              <w:right w:val="nil"/>
            </w:tcBorders>
          </w:tcPr>
          <w:p w14:paraId="233B028D" w14:textId="77777777" w:rsidR="002E1AC3" w:rsidRDefault="002E1AC3" w:rsidP="002E1AC3">
            <w:pPr>
              <w:jc w:val="center"/>
              <w:rPr>
                <w:b/>
                <w:sz w:val="28"/>
              </w:rPr>
            </w:pPr>
          </w:p>
        </w:tc>
      </w:tr>
      <w:tr w:rsidR="002E1AC3" w14:paraId="66B42DFB" w14:textId="77777777" w:rsidTr="00A24F55">
        <w:trPr>
          <w:cantSplit/>
          <w:trHeight w:val="1514"/>
        </w:trPr>
        <w:tc>
          <w:tcPr>
            <w:tcW w:w="440" w:type="dxa"/>
            <w:tcBorders>
              <w:top w:val="single" w:sz="2" w:space="0" w:color="0F243E" w:themeColor="text2" w:themeShade="80"/>
              <w:left w:val="nil"/>
              <w:bottom w:val="nil"/>
              <w:right w:val="single" w:sz="2" w:space="0" w:color="0F243E" w:themeColor="text2" w:themeShade="80"/>
            </w:tcBorders>
          </w:tcPr>
          <w:p w14:paraId="548ACB00" w14:textId="258B066C" w:rsidR="002E1AC3" w:rsidRDefault="002E1AC3" w:rsidP="002E1AC3">
            <w:r>
              <w:t>1</w:t>
            </w:r>
            <w:r w:rsidR="00136E8E">
              <w:t>0</w:t>
            </w:r>
          </w:p>
        </w:tc>
        <w:tc>
          <w:tcPr>
            <w:tcW w:w="2908" w:type="dxa"/>
            <w:tcBorders>
              <w:top w:val="single" w:sz="2" w:space="0" w:color="0F243E" w:themeColor="text2" w:themeShade="80"/>
              <w:left w:val="single" w:sz="2" w:space="0" w:color="0F243E" w:themeColor="text2" w:themeShade="80"/>
              <w:bottom w:val="nil"/>
              <w:right w:val="single" w:sz="2" w:space="0" w:color="0F243E" w:themeColor="text2" w:themeShade="80"/>
            </w:tcBorders>
          </w:tcPr>
          <w:p w14:paraId="6B9A9C0F" w14:textId="047088F1" w:rsidR="002E1AC3" w:rsidRPr="001249AD" w:rsidRDefault="002E1AC3" w:rsidP="002E1AC3">
            <w:r w:rsidRPr="001249AD">
              <w:t xml:space="preserve">Former les employés </w:t>
            </w:r>
            <w:r>
              <w:t xml:space="preserve">sur le programme et </w:t>
            </w:r>
            <w:r w:rsidRPr="00A90D59">
              <w:t xml:space="preserve">les </w:t>
            </w:r>
            <w:r w:rsidR="00A90D59" w:rsidRPr="00A90D59">
              <w:t>obligations</w:t>
            </w:r>
            <w:r w:rsidRPr="00A90D59">
              <w:t xml:space="preserve"> </w:t>
            </w:r>
            <w:r w:rsidR="00A628C1">
              <w:t xml:space="preserve">réglementaires </w:t>
            </w:r>
            <w:r w:rsidRPr="00A90D59">
              <w:t>expliqué</w:t>
            </w:r>
            <w:r w:rsidR="00A90D59" w:rsidRPr="00A90D59">
              <w:t>e</w:t>
            </w:r>
            <w:r w:rsidRPr="00A90D59">
              <w:t>s dans c</w:t>
            </w:r>
            <w:r>
              <w:t>hacune des fiches de sécurité</w:t>
            </w:r>
          </w:p>
        </w:tc>
        <w:tc>
          <w:tcPr>
            <w:tcW w:w="5880" w:type="dxa"/>
            <w:tcBorders>
              <w:top w:val="single" w:sz="2" w:space="0" w:color="0F243E" w:themeColor="text2" w:themeShade="80"/>
              <w:left w:val="single" w:sz="2" w:space="0" w:color="0F243E" w:themeColor="text2" w:themeShade="80"/>
              <w:bottom w:val="nil"/>
              <w:right w:val="single" w:sz="2" w:space="0" w:color="0F243E" w:themeColor="text2" w:themeShade="80"/>
            </w:tcBorders>
          </w:tcPr>
          <w:p w14:paraId="7687900A" w14:textId="77777777" w:rsidR="002E1AC3" w:rsidRDefault="002E1AC3" w:rsidP="002E1AC3">
            <w:pPr>
              <w:autoSpaceDE w:val="0"/>
              <w:autoSpaceDN w:val="0"/>
              <w:adjustRightInd w:val="0"/>
              <w:rPr>
                <w:rFonts w:cs="Calibri"/>
              </w:rPr>
            </w:pPr>
            <w:r w:rsidRPr="001249AD">
              <w:rPr>
                <w:rFonts w:cs="Calibri"/>
              </w:rPr>
              <w:t xml:space="preserve">Diffuser le programme </w:t>
            </w:r>
            <w:r>
              <w:rPr>
                <w:rFonts w:cs="Calibri"/>
              </w:rPr>
              <w:t>de travail en hauteur</w:t>
            </w:r>
            <w:r w:rsidRPr="001249AD">
              <w:rPr>
                <w:rFonts w:cs="Calibri"/>
              </w:rPr>
              <w:t xml:space="preserve"> et former les gestionnaires et employés qui devront l’appliquer.</w:t>
            </w:r>
            <w:r>
              <w:rPr>
                <w:rFonts w:cs="Calibri"/>
              </w:rPr>
              <w:t xml:space="preserve"> </w:t>
            </w:r>
          </w:p>
          <w:p w14:paraId="49ADD455" w14:textId="457462A1" w:rsidR="002E1AC3" w:rsidRDefault="002E1AC3" w:rsidP="002E1AC3">
            <w:pPr>
              <w:autoSpaceDE w:val="0"/>
              <w:autoSpaceDN w:val="0"/>
              <w:adjustRightInd w:val="0"/>
              <w:rPr>
                <w:rFonts w:cs="Calibri"/>
              </w:rPr>
            </w:pPr>
            <w:r>
              <w:rPr>
                <w:rFonts w:cs="Calibri"/>
              </w:rPr>
              <w:t xml:space="preserve">Former les employés sur les méthodes ou équipements spécifiques </w:t>
            </w:r>
            <w:r w:rsidR="001613A4">
              <w:rPr>
                <w:rFonts w:cs="Calibri"/>
              </w:rPr>
              <w:t>(ex</w:t>
            </w:r>
            <w:r w:rsidR="004A3D47">
              <w:rPr>
                <w:rFonts w:cs="Calibri"/>
              </w:rPr>
              <w:t>.</w:t>
            </w:r>
            <w:r>
              <w:rPr>
                <w:rFonts w:cs="Calibri"/>
              </w:rPr>
              <w:t xml:space="preserve"> : plateforme élévatrice, travail en hauteur, etc.). </w:t>
            </w:r>
          </w:p>
          <w:p w14:paraId="2561DC38" w14:textId="04BE35D9" w:rsidR="002E1AC3" w:rsidRPr="00A80791" w:rsidRDefault="002E1AC3" w:rsidP="002E1AC3">
            <w:pPr>
              <w:autoSpaceDE w:val="0"/>
              <w:autoSpaceDN w:val="0"/>
              <w:adjustRightInd w:val="0"/>
            </w:pPr>
            <w:r>
              <w:rPr>
                <w:rFonts w:cs="Calibri"/>
              </w:rPr>
              <w:t>Conserver leur nom dans un registre.</w:t>
            </w:r>
          </w:p>
        </w:tc>
        <w:tc>
          <w:tcPr>
            <w:tcW w:w="1976" w:type="dxa"/>
            <w:tcBorders>
              <w:top w:val="single" w:sz="2" w:space="0" w:color="0F243E" w:themeColor="text2" w:themeShade="80"/>
              <w:left w:val="single" w:sz="2" w:space="0" w:color="0F243E" w:themeColor="text2" w:themeShade="80"/>
              <w:bottom w:val="nil"/>
              <w:right w:val="single" w:sz="2" w:space="0" w:color="0F243E" w:themeColor="text2" w:themeShade="80"/>
            </w:tcBorders>
          </w:tcPr>
          <w:p w14:paraId="364A120F" w14:textId="77777777" w:rsidR="002E1AC3" w:rsidRDefault="002E1AC3" w:rsidP="002E1AC3">
            <w:pPr>
              <w:jc w:val="center"/>
              <w:rPr>
                <w:b/>
                <w:sz w:val="28"/>
              </w:rPr>
            </w:pPr>
          </w:p>
        </w:tc>
        <w:tc>
          <w:tcPr>
            <w:tcW w:w="1832" w:type="dxa"/>
            <w:tcBorders>
              <w:top w:val="single" w:sz="2" w:space="0" w:color="0F243E" w:themeColor="text2" w:themeShade="80"/>
              <w:left w:val="single" w:sz="2" w:space="0" w:color="0F243E" w:themeColor="text2" w:themeShade="80"/>
              <w:bottom w:val="nil"/>
              <w:right w:val="nil"/>
            </w:tcBorders>
          </w:tcPr>
          <w:p w14:paraId="52A38863" w14:textId="77777777" w:rsidR="002E1AC3" w:rsidRDefault="002E1AC3" w:rsidP="002E1AC3">
            <w:pPr>
              <w:jc w:val="center"/>
              <w:rPr>
                <w:b/>
                <w:sz w:val="28"/>
              </w:rPr>
            </w:pPr>
          </w:p>
        </w:tc>
      </w:tr>
    </w:tbl>
    <w:p w14:paraId="1D4B1B02" w14:textId="58D6D7C5" w:rsidR="00CE3884" w:rsidRDefault="00CE3884" w:rsidP="001249AD">
      <w:pPr>
        <w:autoSpaceDE w:val="0"/>
        <w:autoSpaceDN w:val="0"/>
        <w:adjustRightInd w:val="0"/>
        <w:spacing w:after="0" w:line="240" w:lineRule="auto"/>
        <w:rPr>
          <w:rFonts w:cs="Calibri"/>
        </w:rPr>
      </w:pPr>
    </w:p>
    <w:p w14:paraId="45207E27" w14:textId="03EC965C" w:rsidR="00FB764D" w:rsidRDefault="00FB764D" w:rsidP="001249AD">
      <w:pPr>
        <w:autoSpaceDE w:val="0"/>
        <w:autoSpaceDN w:val="0"/>
        <w:adjustRightInd w:val="0"/>
        <w:spacing w:after="0" w:line="240" w:lineRule="auto"/>
        <w:rPr>
          <w:rFonts w:cs="Calibri"/>
        </w:rPr>
      </w:pPr>
    </w:p>
    <w:p w14:paraId="2650F8F4" w14:textId="0B6B5E98" w:rsidR="00136E8E" w:rsidRDefault="00136E8E" w:rsidP="001249AD">
      <w:pPr>
        <w:autoSpaceDE w:val="0"/>
        <w:autoSpaceDN w:val="0"/>
        <w:adjustRightInd w:val="0"/>
        <w:spacing w:after="0" w:line="240" w:lineRule="auto"/>
        <w:rPr>
          <w:rFonts w:cs="Calibri"/>
        </w:rPr>
      </w:pPr>
    </w:p>
    <w:p w14:paraId="3118984E" w14:textId="1797ACD3" w:rsidR="00136E8E" w:rsidRDefault="00136E8E" w:rsidP="001249AD">
      <w:pPr>
        <w:autoSpaceDE w:val="0"/>
        <w:autoSpaceDN w:val="0"/>
        <w:adjustRightInd w:val="0"/>
        <w:spacing w:after="0" w:line="240" w:lineRule="auto"/>
        <w:rPr>
          <w:rFonts w:cs="Calibri"/>
        </w:rPr>
      </w:pPr>
    </w:p>
    <w:p w14:paraId="30CDCEE1" w14:textId="6286585D" w:rsidR="00136E8E" w:rsidRDefault="00136E8E" w:rsidP="001249AD">
      <w:pPr>
        <w:autoSpaceDE w:val="0"/>
        <w:autoSpaceDN w:val="0"/>
        <w:adjustRightInd w:val="0"/>
        <w:spacing w:after="0" w:line="240" w:lineRule="auto"/>
        <w:rPr>
          <w:rFonts w:cs="Calibri"/>
        </w:rPr>
      </w:pPr>
    </w:p>
    <w:p w14:paraId="56F8E4B1" w14:textId="77777777" w:rsidR="00136E8E" w:rsidRDefault="00136E8E" w:rsidP="001249AD">
      <w:pPr>
        <w:autoSpaceDE w:val="0"/>
        <w:autoSpaceDN w:val="0"/>
        <w:adjustRightInd w:val="0"/>
        <w:spacing w:after="0" w:line="240" w:lineRule="auto"/>
        <w:rPr>
          <w:rFonts w:cs="Calibri"/>
        </w:rPr>
      </w:pPr>
    </w:p>
    <w:tbl>
      <w:tblPr>
        <w:tblStyle w:val="Grilledutableau"/>
        <w:tblW w:w="13041" w:type="dxa"/>
        <w:tblCellMar>
          <w:top w:w="57" w:type="dxa"/>
          <w:bottom w:w="57" w:type="dxa"/>
        </w:tblCellMar>
        <w:tblLook w:val="04A0" w:firstRow="1" w:lastRow="0" w:firstColumn="1" w:lastColumn="0" w:noHBand="0" w:noVBand="1"/>
      </w:tblPr>
      <w:tblGrid>
        <w:gridCol w:w="440"/>
        <w:gridCol w:w="2909"/>
        <w:gridCol w:w="5882"/>
        <w:gridCol w:w="1977"/>
        <w:gridCol w:w="1833"/>
      </w:tblGrid>
      <w:tr w:rsidR="00CE3884" w:rsidRPr="00A80791" w14:paraId="7BF93BF3" w14:textId="77777777" w:rsidTr="00CE3884">
        <w:trPr>
          <w:cantSplit/>
          <w:trHeight w:val="222"/>
        </w:trPr>
        <w:tc>
          <w:tcPr>
            <w:tcW w:w="13041" w:type="dxa"/>
            <w:gridSpan w:val="5"/>
            <w:tcBorders>
              <w:top w:val="nil"/>
              <w:left w:val="nil"/>
              <w:bottom w:val="single" w:sz="12" w:space="0" w:color="FFFFFF" w:themeColor="background1"/>
              <w:right w:val="nil"/>
            </w:tcBorders>
            <w:shd w:val="clear" w:color="auto" w:fill="FFFFFF" w:themeFill="background1"/>
          </w:tcPr>
          <w:p w14:paraId="253BA36C" w14:textId="210476BD" w:rsidR="00A24F55" w:rsidRPr="00A24F55" w:rsidRDefault="00CE3884" w:rsidP="00F107AF">
            <w:pPr>
              <w:rPr>
                <w:b/>
                <w:color w:val="E2AC00"/>
                <w:sz w:val="32"/>
                <w:szCs w:val="32"/>
              </w:rPr>
            </w:pPr>
            <w:r w:rsidRPr="00C20809">
              <w:rPr>
                <w:b/>
                <w:color w:val="E2AC00"/>
                <w:sz w:val="36"/>
                <w:szCs w:val="36"/>
              </w:rPr>
              <w:lastRenderedPageBreak/>
              <w:t>Moyens de contrôle</w:t>
            </w:r>
          </w:p>
        </w:tc>
      </w:tr>
      <w:tr w:rsidR="00CE3884" w:rsidRPr="001249AD" w14:paraId="03682B06" w14:textId="77777777" w:rsidTr="00A24F55">
        <w:trPr>
          <w:cantSplit/>
          <w:trHeight w:val="149"/>
        </w:trPr>
        <w:tc>
          <w:tcPr>
            <w:tcW w:w="3349" w:type="dxa"/>
            <w:gridSpan w:val="2"/>
            <w:tcBorders>
              <w:top w:val="single" w:sz="12" w:space="0" w:color="FFFFFF" w:themeColor="background1"/>
              <w:left w:val="nil"/>
              <w:bottom w:val="nil"/>
              <w:right w:val="nil"/>
            </w:tcBorders>
            <w:shd w:val="clear" w:color="auto" w:fill="0F243E" w:themeFill="text2" w:themeFillShade="80"/>
          </w:tcPr>
          <w:p w14:paraId="237DD1B0" w14:textId="77777777" w:rsidR="00CE3884" w:rsidRPr="001249AD" w:rsidRDefault="00CE3884" w:rsidP="00F107AF">
            <w:pPr>
              <w:jc w:val="center"/>
              <w:rPr>
                <w:b/>
              </w:rPr>
            </w:pPr>
            <w:r w:rsidRPr="001249AD">
              <w:rPr>
                <w:b/>
              </w:rPr>
              <w:t>Étapes</w:t>
            </w:r>
          </w:p>
        </w:tc>
        <w:tc>
          <w:tcPr>
            <w:tcW w:w="5882" w:type="dxa"/>
            <w:tcBorders>
              <w:top w:val="single" w:sz="12" w:space="0" w:color="FFFFFF" w:themeColor="background1"/>
              <w:left w:val="nil"/>
              <w:bottom w:val="nil"/>
              <w:right w:val="nil"/>
            </w:tcBorders>
            <w:shd w:val="clear" w:color="auto" w:fill="0F243E" w:themeFill="text2" w:themeFillShade="80"/>
          </w:tcPr>
          <w:p w14:paraId="2CE222E2" w14:textId="77777777" w:rsidR="00CE3884" w:rsidRPr="001249AD" w:rsidRDefault="00CE3884" w:rsidP="00F107AF">
            <w:pPr>
              <w:jc w:val="center"/>
              <w:rPr>
                <w:b/>
              </w:rPr>
            </w:pPr>
            <w:r w:rsidRPr="001249AD">
              <w:rPr>
                <w:b/>
              </w:rPr>
              <w:t>Description</w:t>
            </w:r>
          </w:p>
        </w:tc>
        <w:tc>
          <w:tcPr>
            <w:tcW w:w="1977" w:type="dxa"/>
            <w:tcBorders>
              <w:top w:val="single" w:sz="12" w:space="0" w:color="FFFFFF" w:themeColor="background1"/>
              <w:left w:val="nil"/>
              <w:bottom w:val="nil"/>
              <w:right w:val="nil"/>
            </w:tcBorders>
            <w:shd w:val="clear" w:color="auto" w:fill="0F243E" w:themeFill="text2" w:themeFillShade="80"/>
          </w:tcPr>
          <w:p w14:paraId="7A60F8B0" w14:textId="77777777" w:rsidR="00CE3884" w:rsidRPr="001249AD" w:rsidRDefault="00CE3884" w:rsidP="00F107AF">
            <w:pPr>
              <w:jc w:val="center"/>
              <w:rPr>
                <w:b/>
              </w:rPr>
            </w:pPr>
            <w:r w:rsidRPr="001249AD">
              <w:rPr>
                <w:b/>
              </w:rPr>
              <w:t>Responsables</w:t>
            </w:r>
          </w:p>
        </w:tc>
        <w:tc>
          <w:tcPr>
            <w:tcW w:w="1833" w:type="dxa"/>
            <w:tcBorders>
              <w:top w:val="single" w:sz="12" w:space="0" w:color="FFFFFF" w:themeColor="background1"/>
              <w:left w:val="nil"/>
              <w:bottom w:val="nil"/>
              <w:right w:val="nil"/>
            </w:tcBorders>
            <w:shd w:val="clear" w:color="auto" w:fill="0F243E" w:themeFill="text2" w:themeFillShade="80"/>
          </w:tcPr>
          <w:p w14:paraId="753167CD" w14:textId="77777777" w:rsidR="00CE3884" w:rsidRPr="001249AD" w:rsidRDefault="00CE3884" w:rsidP="00F107AF">
            <w:pPr>
              <w:jc w:val="center"/>
              <w:rPr>
                <w:b/>
              </w:rPr>
            </w:pPr>
            <w:r w:rsidRPr="001249AD">
              <w:rPr>
                <w:b/>
              </w:rPr>
              <w:t>Échéancier</w:t>
            </w:r>
          </w:p>
        </w:tc>
      </w:tr>
      <w:tr w:rsidR="00CE3884" w14:paraId="6939A5EC" w14:textId="77777777" w:rsidTr="00A24F55">
        <w:trPr>
          <w:cantSplit/>
          <w:trHeight w:val="580"/>
        </w:trPr>
        <w:tc>
          <w:tcPr>
            <w:tcW w:w="440" w:type="dxa"/>
            <w:tcBorders>
              <w:top w:val="nil"/>
              <w:left w:val="nil"/>
              <w:bottom w:val="single" w:sz="4" w:space="0" w:color="17365D" w:themeColor="text2" w:themeShade="BF"/>
              <w:right w:val="single" w:sz="4" w:space="0" w:color="17365D" w:themeColor="text2" w:themeShade="BF"/>
            </w:tcBorders>
          </w:tcPr>
          <w:p w14:paraId="4E4728EC" w14:textId="097D61B9" w:rsidR="00CE3884" w:rsidRDefault="00CE3884" w:rsidP="00CE3884">
            <w:r>
              <w:t>1</w:t>
            </w:r>
          </w:p>
        </w:tc>
        <w:tc>
          <w:tcPr>
            <w:tcW w:w="2909"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14:paraId="1AF9B1DD" w14:textId="72AA2AEA" w:rsidR="00CE3884" w:rsidRDefault="00CE3884" w:rsidP="00CE3884">
            <w:r w:rsidRPr="00D21BB2">
              <w:t>Former tout nouvel employé et conserver leur nom dans un registre.</w:t>
            </w:r>
          </w:p>
        </w:tc>
        <w:tc>
          <w:tcPr>
            <w:tcW w:w="5882"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14:paraId="782933BD" w14:textId="621530A0" w:rsidR="00CE3884" w:rsidRPr="001249AD" w:rsidRDefault="00CE3884" w:rsidP="00CE3884">
            <w:pPr>
              <w:autoSpaceDE w:val="0"/>
              <w:autoSpaceDN w:val="0"/>
              <w:adjustRightInd w:val="0"/>
              <w:rPr>
                <w:rFonts w:cs="Calibri"/>
              </w:rPr>
            </w:pPr>
            <w:r>
              <w:rPr>
                <w:rFonts w:cs="Calibri"/>
              </w:rPr>
              <w:t>Ajouter la présentation et l’évaluation des formations exigées dans le programme d’accueil des nouveaux travailleurs.</w:t>
            </w:r>
          </w:p>
        </w:tc>
        <w:tc>
          <w:tcPr>
            <w:tcW w:w="1977" w:type="dxa"/>
            <w:tcBorders>
              <w:top w:val="nil"/>
              <w:left w:val="single" w:sz="4" w:space="0" w:color="17365D" w:themeColor="text2" w:themeShade="BF"/>
              <w:bottom w:val="single" w:sz="4" w:space="0" w:color="17365D" w:themeColor="text2" w:themeShade="BF"/>
              <w:right w:val="single" w:sz="4" w:space="0" w:color="17365D" w:themeColor="text2" w:themeShade="BF"/>
            </w:tcBorders>
          </w:tcPr>
          <w:p w14:paraId="5FB2CC4D" w14:textId="77777777" w:rsidR="00CE3884" w:rsidRDefault="00CE3884" w:rsidP="00CE3884">
            <w:pPr>
              <w:jc w:val="center"/>
              <w:rPr>
                <w:b/>
                <w:sz w:val="28"/>
              </w:rPr>
            </w:pPr>
          </w:p>
        </w:tc>
        <w:tc>
          <w:tcPr>
            <w:tcW w:w="1833" w:type="dxa"/>
            <w:tcBorders>
              <w:top w:val="nil"/>
              <w:left w:val="single" w:sz="4" w:space="0" w:color="17365D" w:themeColor="text2" w:themeShade="BF"/>
              <w:bottom w:val="single" w:sz="4" w:space="0" w:color="17365D" w:themeColor="text2" w:themeShade="BF"/>
              <w:right w:val="nil"/>
            </w:tcBorders>
          </w:tcPr>
          <w:p w14:paraId="69547C83" w14:textId="77777777" w:rsidR="00CE3884" w:rsidRDefault="00CE3884" w:rsidP="00CE3884">
            <w:pPr>
              <w:jc w:val="center"/>
              <w:rPr>
                <w:b/>
                <w:sz w:val="28"/>
              </w:rPr>
            </w:pPr>
          </w:p>
        </w:tc>
      </w:tr>
      <w:tr w:rsidR="00CE3884" w14:paraId="50E48ABE" w14:textId="77777777" w:rsidTr="00A24F55">
        <w:trPr>
          <w:cantSplit/>
          <w:trHeight w:val="859"/>
        </w:trPr>
        <w:tc>
          <w:tcPr>
            <w:tcW w:w="440" w:type="dxa"/>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39F43FF" w14:textId="7F5823DA" w:rsidR="00CE3884" w:rsidRDefault="00CE3884" w:rsidP="00CE3884">
            <w:r>
              <w:t>2</w:t>
            </w:r>
          </w:p>
        </w:tc>
        <w:tc>
          <w:tcPr>
            <w:tcW w:w="29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00071BD" w14:textId="048CCEE2" w:rsidR="00CE3884" w:rsidRPr="001249AD" w:rsidRDefault="00CE3884" w:rsidP="00CE3884">
            <w:r w:rsidRPr="007B78BC">
              <w:t>Renouveler la formation des employés et conserver leur nom dans un registre.</w:t>
            </w:r>
          </w:p>
        </w:tc>
        <w:tc>
          <w:tcPr>
            <w:tcW w:w="5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C185346" w14:textId="61BEE3D6" w:rsidR="00CE3884" w:rsidRPr="00A80791" w:rsidRDefault="00CE3884" w:rsidP="00CE3884">
            <w:pPr>
              <w:autoSpaceDE w:val="0"/>
              <w:autoSpaceDN w:val="0"/>
              <w:adjustRightInd w:val="0"/>
            </w:pPr>
            <w:r>
              <w:rPr>
                <w:rFonts w:cs="Calibri"/>
              </w:rPr>
              <w:t>Établir la fréquence de renouvellement de</w:t>
            </w:r>
            <w:r w:rsidR="001613A4">
              <w:rPr>
                <w:rFonts w:cs="Calibri"/>
              </w:rPr>
              <w:t>s</w:t>
            </w:r>
            <w:r>
              <w:rPr>
                <w:rFonts w:cs="Calibri"/>
              </w:rPr>
              <w:t xml:space="preserve"> formations pour tous les équipements et méthode</w:t>
            </w:r>
            <w:r w:rsidR="001613A4">
              <w:rPr>
                <w:rFonts w:cs="Calibri"/>
              </w:rPr>
              <w:t>s</w:t>
            </w:r>
            <w:r>
              <w:rPr>
                <w:rFonts w:cs="Calibri"/>
              </w:rPr>
              <w:t xml:space="preserve"> de travail. Le renouvellement suggéré est de 3 ans. </w:t>
            </w:r>
          </w:p>
        </w:tc>
        <w:tc>
          <w:tcPr>
            <w:tcW w:w="1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C3F88C3" w14:textId="77777777" w:rsidR="00CE3884" w:rsidRDefault="00CE3884" w:rsidP="00CE3884">
            <w:pPr>
              <w:jc w:val="center"/>
              <w:rPr>
                <w:b/>
                <w:sz w:val="28"/>
              </w:rPr>
            </w:pPr>
          </w:p>
        </w:tc>
        <w:tc>
          <w:tcPr>
            <w:tcW w:w="1833"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1C6E5CA3" w14:textId="77777777" w:rsidR="00CE3884" w:rsidRDefault="00CE3884" w:rsidP="00CE3884">
            <w:pPr>
              <w:jc w:val="center"/>
              <w:rPr>
                <w:b/>
                <w:sz w:val="28"/>
              </w:rPr>
            </w:pPr>
          </w:p>
        </w:tc>
      </w:tr>
      <w:tr w:rsidR="00CE3884" w14:paraId="684E1183" w14:textId="77777777" w:rsidTr="00A24F55">
        <w:trPr>
          <w:cantSplit/>
          <w:trHeight w:val="873"/>
        </w:trPr>
        <w:tc>
          <w:tcPr>
            <w:tcW w:w="440" w:type="dxa"/>
            <w:tcBorders>
              <w:top w:val="single" w:sz="4" w:space="0" w:color="17365D" w:themeColor="text2" w:themeShade="BF"/>
              <w:left w:val="nil"/>
              <w:bottom w:val="single" w:sz="4" w:space="0" w:color="17365D" w:themeColor="text2" w:themeShade="BF"/>
              <w:right w:val="single" w:sz="4" w:space="0" w:color="17365D" w:themeColor="text2" w:themeShade="BF"/>
            </w:tcBorders>
          </w:tcPr>
          <w:p w14:paraId="6AAB7755" w14:textId="736458A7" w:rsidR="00CE3884" w:rsidRDefault="00CE3884" w:rsidP="00CE3884">
            <w:r>
              <w:t>3</w:t>
            </w:r>
          </w:p>
        </w:tc>
        <w:tc>
          <w:tcPr>
            <w:tcW w:w="29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F0DEFB0" w14:textId="1BF578ED" w:rsidR="00CE3884" w:rsidRDefault="00CE3884" w:rsidP="00CE3884">
            <w:r w:rsidRPr="00921D1E">
              <w:t>Auditer l’application du programme de travail en hauteur.</w:t>
            </w:r>
          </w:p>
        </w:tc>
        <w:tc>
          <w:tcPr>
            <w:tcW w:w="5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4B11DC9" w14:textId="1CF8A1BE" w:rsidR="00CE3884" w:rsidRPr="00A80791" w:rsidRDefault="00CE3884" w:rsidP="00CE3884">
            <w:pPr>
              <w:autoSpaceDE w:val="0"/>
              <w:autoSpaceDN w:val="0"/>
              <w:adjustRightInd w:val="0"/>
            </w:pPr>
            <w:r>
              <w:rPr>
                <w:rFonts w:cs="Calibri"/>
              </w:rPr>
              <w:t>Établir une fréquence d</w:t>
            </w:r>
            <w:r w:rsidR="001613A4">
              <w:rPr>
                <w:rFonts w:cs="Calibri"/>
              </w:rPr>
              <w:t xml:space="preserve">es </w:t>
            </w:r>
            <w:r>
              <w:rPr>
                <w:rFonts w:cs="Calibri"/>
              </w:rPr>
              <w:t>audits pour les travaux en hauteur et consigner les audits dans un registre. La fréquence suggéré</w:t>
            </w:r>
            <w:r w:rsidR="00EA0E62">
              <w:rPr>
                <w:rFonts w:cs="Calibri"/>
              </w:rPr>
              <w:t xml:space="preserve">e </w:t>
            </w:r>
            <w:r>
              <w:rPr>
                <w:rFonts w:cs="Calibri"/>
              </w:rPr>
              <w:t>dépend du volume de travaux effectué</w:t>
            </w:r>
            <w:r w:rsidR="00EA0E62">
              <w:rPr>
                <w:rFonts w:cs="Calibri"/>
              </w:rPr>
              <w:t>s.</w:t>
            </w:r>
            <w:r w:rsidR="00996374">
              <w:rPr>
                <w:rFonts w:cs="Calibri"/>
              </w:rPr>
              <w:t xml:space="preserve"> (</w:t>
            </w:r>
            <w:proofErr w:type="gramStart"/>
            <w:r w:rsidR="001613A4">
              <w:rPr>
                <w:rFonts w:cs="Calibri"/>
              </w:rPr>
              <w:t>e</w:t>
            </w:r>
            <w:r w:rsidR="00996374">
              <w:rPr>
                <w:rFonts w:cs="Calibri"/>
              </w:rPr>
              <w:t>x</w:t>
            </w:r>
            <w:r w:rsidR="004A3D47">
              <w:rPr>
                <w:rFonts w:cs="Calibri"/>
              </w:rPr>
              <w:t>.</w:t>
            </w:r>
            <w:proofErr w:type="gramEnd"/>
            <w:r w:rsidR="00996374">
              <w:rPr>
                <w:rFonts w:cs="Calibri"/>
              </w:rPr>
              <w:t> : en vérifiant l’application des mesures de sécurité qui se retrouvent dans les fiches de sécurité).</w:t>
            </w:r>
          </w:p>
        </w:tc>
        <w:tc>
          <w:tcPr>
            <w:tcW w:w="1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9D0829B" w14:textId="77777777" w:rsidR="00CE3884" w:rsidRDefault="00CE3884" w:rsidP="00CE3884">
            <w:pPr>
              <w:jc w:val="center"/>
              <w:rPr>
                <w:b/>
                <w:sz w:val="28"/>
              </w:rPr>
            </w:pPr>
          </w:p>
        </w:tc>
        <w:tc>
          <w:tcPr>
            <w:tcW w:w="1833"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4F2F654D" w14:textId="77777777" w:rsidR="00CE3884" w:rsidRDefault="00CE3884" w:rsidP="00CE3884">
            <w:pPr>
              <w:jc w:val="center"/>
              <w:rPr>
                <w:b/>
                <w:sz w:val="28"/>
              </w:rPr>
            </w:pPr>
          </w:p>
        </w:tc>
      </w:tr>
      <w:tr w:rsidR="00CE3884" w14:paraId="521259DA" w14:textId="77777777" w:rsidTr="00A24F55">
        <w:trPr>
          <w:cantSplit/>
          <w:trHeight w:val="717"/>
        </w:trPr>
        <w:tc>
          <w:tcPr>
            <w:tcW w:w="440" w:type="dxa"/>
            <w:tcBorders>
              <w:top w:val="single" w:sz="4" w:space="0" w:color="17365D" w:themeColor="text2" w:themeShade="BF"/>
              <w:left w:val="nil"/>
              <w:bottom w:val="single" w:sz="4" w:space="0" w:color="17365D" w:themeColor="text2" w:themeShade="BF"/>
              <w:right w:val="single" w:sz="4" w:space="0" w:color="17365D" w:themeColor="text2" w:themeShade="BF"/>
            </w:tcBorders>
          </w:tcPr>
          <w:p w14:paraId="1602C6ED" w14:textId="6BAA059D" w:rsidR="00CE3884" w:rsidRDefault="00CE3884" w:rsidP="00CE3884">
            <w:r>
              <w:t>4</w:t>
            </w:r>
          </w:p>
        </w:tc>
        <w:tc>
          <w:tcPr>
            <w:tcW w:w="2909"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6485ABE" w14:textId="3F25D2B2" w:rsidR="00CE3884" w:rsidRDefault="00CE3884" w:rsidP="00CE3884">
            <w:r w:rsidRPr="004F09CF">
              <w:t>Effectuer l’entretien du matériel de travail en hauteur.</w:t>
            </w:r>
          </w:p>
        </w:tc>
        <w:tc>
          <w:tcPr>
            <w:tcW w:w="588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0CDF847" w14:textId="2910C3D8" w:rsidR="00CE3884" w:rsidRPr="00A80791" w:rsidRDefault="00CE3884" w:rsidP="00CE3884">
            <w:pPr>
              <w:autoSpaceDE w:val="0"/>
              <w:autoSpaceDN w:val="0"/>
              <w:adjustRightInd w:val="0"/>
            </w:pPr>
            <w:r>
              <w:rPr>
                <w:rFonts w:cs="Calibri"/>
              </w:rPr>
              <w:t>Établir un calendrier d’inspection des équipements antichute selon les recommandations du fabricant.</w:t>
            </w:r>
          </w:p>
        </w:tc>
        <w:tc>
          <w:tcPr>
            <w:tcW w:w="197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8BA79AF" w14:textId="77777777" w:rsidR="00CE3884" w:rsidRDefault="00CE3884" w:rsidP="00CE3884">
            <w:pPr>
              <w:jc w:val="center"/>
              <w:rPr>
                <w:b/>
                <w:sz w:val="28"/>
              </w:rPr>
            </w:pPr>
          </w:p>
        </w:tc>
        <w:tc>
          <w:tcPr>
            <w:tcW w:w="1833" w:type="dxa"/>
            <w:tcBorders>
              <w:top w:val="single" w:sz="4" w:space="0" w:color="17365D" w:themeColor="text2" w:themeShade="BF"/>
              <w:left w:val="single" w:sz="4" w:space="0" w:color="17365D" w:themeColor="text2" w:themeShade="BF"/>
              <w:bottom w:val="single" w:sz="4" w:space="0" w:color="17365D" w:themeColor="text2" w:themeShade="BF"/>
              <w:right w:val="nil"/>
            </w:tcBorders>
          </w:tcPr>
          <w:p w14:paraId="34DB09C3" w14:textId="77777777" w:rsidR="00CE3884" w:rsidRDefault="00CE3884" w:rsidP="00CE3884">
            <w:pPr>
              <w:jc w:val="center"/>
              <w:rPr>
                <w:b/>
                <w:sz w:val="28"/>
              </w:rPr>
            </w:pPr>
          </w:p>
        </w:tc>
      </w:tr>
      <w:tr w:rsidR="00CE3884" w14:paraId="5592C0FD" w14:textId="77777777" w:rsidTr="00A24F55">
        <w:trPr>
          <w:cantSplit/>
          <w:trHeight w:val="1514"/>
        </w:trPr>
        <w:tc>
          <w:tcPr>
            <w:tcW w:w="440" w:type="dxa"/>
            <w:tcBorders>
              <w:top w:val="single" w:sz="4" w:space="0" w:color="17365D" w:themeColor="text2" w:themeShade="BF"/>
              <w:left w:val="nil"/>
              <w:bottom w:val="nil"/>
              <w:right w:val="single" w:sz="4" w:space="0" w:color="17365D" w:themeColor="text2" w:themeShade="BF"/>
            </w:tcBorders>
          </w:tcPr>
          <w:p w14:paraId="250DDC22" w14:textId="74A6371E" w:rsidR="00CE3884" w:rsidRDefault="00CE3884" w:rsidP="00CE3884">
            <w:r>
              <w:t>5</w:t>
            </w:r>
          </w:p>
        </w:tc>
        <w:tc>
          <w:tcPr>
            <w:tcW w:w="2909"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14:paraId="1FC2D953" w14:textId="0335EC65" w:rsidR="00CE3884" w:rsidRPr="001249AD" w:rsidRDefault="00CE3884" w:rsidP="00CE3884">
            <w:r>
              <w:t>Réviser le programme</w:t>
            </w:r>
          </w:p>
        </w:tc>
        <w:tc>
          <w:tcPr>
            <w:tcW w:w="5882"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14:paraId="4A947D61" w14:textId="05C0B597" w:rsidR="00CE3884" w:rsidRPr="00A80791" w:rsidRDefault="00CE3884" w:rsidP="00CE3884">
            <w:pPr>
              <w:autoSpaceDE w:val="0"/>
              <w:autoSpaceDN w:val="0"/>
              <w:adjustRightInd w:val="0"/>
            </w:pPr>
            <w:r>
              <w:rPr>
                <w:rFonts w:cs="Calibri"/>
              </w:rPr>
              <w:t>La révision permet de valider si le contenu est toujours adapté aux situations et permet d’effectuer un</w:t>
            </w:r>
            <w:r w:rsidR="00EA0E62">
              <w:rPr>
                <w:rFonts w:cs="Calibri"/>
              </w:rPr>
              <w:t xml:space="preserve">e </w:t>
            </w:r>
            <w:r>
              <w:rPr>
                <w:rFonts w:cs="Calibri"/>
              </w:rPr>
              <w:t>veille r</w:t>
            </w:r>
            <w:r w:rsidR="00547BCF">
              <w:rPr>
                <w:rFonts w:cs="Calibri"/>
              </w:rPr>
              <w:t>é</w:t>
            </w:r>
            <w:r>
              <w:rPr>
                <w:rFonts w:cs="Calibri"/>
              </w:rPr>
              <w:t>glementaire. Le renouvellement suggéré est tous les ans.</w:t>
            </w:r>
          </w:p>
        </w:tc>
        <w:tc>
          <w:tcPr>
            <w:tcW w:w="1977" w:type="dxa"/>
            <w:tcBorders>
              <w:top w:val="single" w:sz="4" w:space="0" w:color="17365D" w:themeColor="text2" w:themeShade="BF"/>
              <w:left w:val="single" w:sz="4" w:space="0" w:color="17365D" w:themeColor="text2" w:themeShade="BF"/>
              <w:bottom w:val="nil"/>
              <w:right w:val="single" w:sz="4" w:space="0" w:color="17365D" w:themeColor="text2" w:themeShade="BF"/>
            </w:tcBorders>
          </w:tcPr>
          <w:p w14:paraId="3D9ABCB8" w14:textId="77777777" w:rsidR="00CE3884" w:rsidRDefault="00CE3884" w:rsidP="00CE3884">
            <w:pPr>
              <w:jc w:val="center"/>
              <w:rPr>
                <w:b/>
                <w:sz w:val="28"/>
              </w:rPr>
            </w:pPr>
          </w:p>
        </w:tc>
        <w:tc>
          <w:tcPr>
            <w:tcW w:w="1833" w:type="dxa"/>
            <w:tcBorders>
              <w:top w:val="single" w:sz="4" w:space="0" w:color="17365D" w:themeColor="text2" w:themeShade="BF"/>
              <w:left w:val="single" w:sz="4" w:space="0" w:color="17365D" w:themeColor="text2" w:themeShade="BF"/>
              <w:bottom w:val="nil"/>
              <w:right w:val="nil"/>
            </w:tcBorders>
          </w:tcPr>
          <w:p w14:paraId="7446A772" w14:textId="77777777" w:rsidR="00CE3884" w:rsidRDefault="00CE3884" w:rsidP="00CE3884">
            <w:pPr>
              <w:jc w:val="center"/>
              <w:rPr>
                <w:b/>
                <w:sz w:val="28"/>
              </w:rPr>
            </w:pPr>
          </w:p>
        </w:tc>
      </w:tr>
    </w:tbl>
    <w:p w14:paraId="16613D00" w14:textId="03347BEA" w:rsidR="00CE3884" w:rsidRDefault="00CE3884" w:rsidP="001249AD">
      <w:pPr>
        <w:autoSpaceDE w:val="0"/>
        <w:autoSpaceDN w:val="0"/>
        <w:adjustRightInd w:val="0"/>
        <w:spacing w:after="0" w:line="240" w:lineRule="auto"/>
        <w:rPr>
          <w:rFonts w:cs="Calibri"/>
        </w:rPr>
      </w:pPr>
    </w:p>
    <w:p w14:paraId="0F828099" w14:textId="1C8C3717" w:rsidR="00BA632C" w:rsidRDefault="00BA632C" w:rsidP="001249AD">
      <w:pPr>
        <w:autoSpaceDE w:val="0"/>
        <w:autoSpaceDN w:val="0"/>
        <w:adjustRightInd w:val="0"/>
        <w:spacing w:after="0" w:line="240" w:lineRule="auto"/>
        <w:rPr>
          <w:rFonts w:cs="Calibri"/>
        </w:rPr>
      </w:pPr>
    </w:p>
    <w:p w14:paraId="4A2A3F1A" w14:textId="51C3A8CD" w:rsidR="00BA632C" w:rsidRDefault="00BA632C" w:rsidP="001249AD">
      <w:pPr>
        <w:autoSpaceDE w:val="0"/>
        <w:autoSpaceDN w:val="0"/>
        <w:adjustRightInd w:val="0"/>
        <w:spacing w:after="0" w:line="240" w:lineRule="auto"/>
        <w:rPr>
          <w:rFonts w:cs="Calibri"/>
        </w:rPr>
      </w:pPr>
    </w:p>
    <w:p w14:paraId="5A2FB0F0" w14:textId="72A3D9AD" w:rsidR="00BA632C" w:rsidRDefault="00BA632C" w:rsidP="001249AD">
      <w:pPr>
        <w:autoSpaceDE w:val="0"/>
        <w:autoSpaceDN w:val="0"/>
        <w:adjustRightInd w:val="0"/>
        <w:spacing w:after="0" w:line="240" w:lineRule="auto"/>
        <w:rPr>
          <w:rFonts w:cs="Calibri"/>
        </w:rPr>
      </w:pPr>
    </w:p>
    <w:p w14:paraId="12E2B0AB" w14:textId="1DA05C7A" w:rsidR="00BA632C" w:rsidRDefault="00BA632C" w:rsidP="001249AD">
      <w:pPr>
        <w:autoSpaceDE w:val="0"/>
        <w:autoSpaceDN w:val="0"/>
        <w:adjustRightInd w:val="0"/>
        <w:spacing w:after="0" w:line="240" w:lineRule="auto"/>
        <w:rPr>
          <w:rFonts w:cs="Calibri"/>
        </w:rPr>
      </w:pPr>
    </w:p>
    <w:p w14:paraId="2C086B52" w14:textId="5A09E8B4" w:rsidR="00BA632C" w:rsidRDefault="00BA632C" w:rsidP="001249AD">
      <w:pPr>
        <w:autoSpaceDE w:val="0"/>
        <w:autoSpaceDN w:val="0"/>
        <w:adjustRightInd w:val="0"/>
        <w:spacing w:after="0" w:line="240" w:lineRule="auto"/>
        <w:rPr>
          <w:rFonts w:cs="Calibri"/>
        </w:rPr>
      </w:pPr>
    </w:p>
    <w:p w14:paraId="493118E8" w14:textId="7B955C1C" w:rsidR="00BA632C" w:rsidRDefault="00BA632C" w:rsidP="001249AD">
      <w:pPr>
        <w:autoSpaceDE w:val="0"/>
        <w:autoSpaceDN w:val="0"/>
        <w:adjustRightInd w:val="0"/>
        <w:spacing w:after="0" w:line="240" w:lineRule="auto"/>
        <w:rPr>
          <w:rFonts w:cs="Calibri"/>
        </w:rPr>
      </w:pPr>
    </w:p>
    <w:p w14:paraId="258EFF05" w14:textId="79DA2041" w:rsidR="00BA632C" w:rsidRDefault="00BA632C" w:rsidP="001249AD">
      <w:pPr>
        <w:autoSpaceDE w:val="0"/>
        <w:autoSpaceDN w:val="0"/>
        <w:adjustRightInd w:val="0"/>
        <w:spacing w:after="0" w:line="240" w:lineRule="auto"/>
        <w:rPr>
          <w:rFonts w:cs="Calibri"/>
        </w:rPr>
      </w:pPr>
    </w:p>
    <w:p w14:paraId="5446D685" w14:textId="5A8AAF86" w:rsidR="00EB0E27" w:rsidRDefault="00BA632C" w:rsidP="001249AD">
      <w:pPr>
        <w:autoSpaceDE w:val="0"/>
        <w:autoSpaceDN w:val="0"/>
        <w:adjustRightInd w:val="0"/>
        <w:spacing w:after="0" w:line="240" w:lineRule="auto"/>
        <w:rPr>
          <w:rFonts w:cs="Calibri"/>
          <w:b/>
          <w:bCs/>
          <w:color w:val="0F243E" w:themeColor="text2" w:themeShade="80"/>
          <w:sz w:val="32"/>
          <w:szCs w:val="32"/>
        </w:rPr>
      </w:pPr>
      <w:r w:rsidRPr="00A375B5">
        <w:rPr>
          <w:rFonts w:cs="Calibri"/>
          <w:b/>
          <w:bCs/>
          <w:color w:val="0F243E" w:themeColor="text2" w:themeShade="80"/>
          <w:sz w:val="32"/>
          <w:szCs w:val="32"/>
        </w:rPr>
        <w:lastRenderedPageBreak/>
        <w:t>Annexe 1 : Choix des équipements</w:t>
      </w:r>
    </w:p>
    <w:p w14:paraId="4951CF31" w14:textId="5AD54484" w:rsidR="00C90815" w:rsidRDefault="00C90815" w:rsidP="001249AD">
      <w:pPr>
        <w:autoSpaceDE w:val="0"/>
        <w:autoSpaceDN w:val="0"/>
        <w:adjustRightInd w:val="0"/>
        <w:spacing w:after="0" w:line="240" w:lineRule="auto"/>
        <w:rPr>
          <w:rFonts w:cs="Calibri"/>
          <w:b/>
          <w:bCs/>
          <w:color w:val="0F243E" w:themeColor="text2" w:themeShade="80"/>
          <w:sz w:val="32"/>
          <w:szCs w:val="32"/>
        </w:rPr>
      </w:pPr>
    </w:p>
    <w:p w14:paraId="093457D9" w14:textId="6C157771" w:rsidR="00C90815" w:rsidRDefault="00742309" w:rsidP="00C90815">
      <w:pPr>
        <w:rPr>
          <w:rFonts w:ascii="Calibri" w:hAnsi="Calibri" w:cs="Calibri"/>
          <w:color w:val="222222"/>
          <w:shd w:val="clear" w:color="auto" w:fill="FFFFFF"/>
        </w:rPr>
      </w:pPr>
      <w:r w:rsidRPr="00AF1899">
        <w:rPr>
          <w:rFonts w:cs="Calibri"/>
          <w:noProof/>
        </w:rPr>
        <mc:AlternateContent>
          <mc:Choice Requires="wps">
            <w:drawing>
              <wp:anchor distT="45720" distB="45720" distL="114300" distR="114300" simplePos="0" relativeHeight="251659264" behindDoc="0" locked="0" layoutInCell="1" allowOverlap="1" wp14:anchorId="1AA5C19F" wp14:editId="73647A1A">
                <wp:simplePos x="0" y="0"/>
                <wp:positionH relativeFrom="margin">
                  <wp:posOffset>4972685</wp:posOffset>
                </wp:positionH>
                <wp:positionV relativeFrom="paragraph">
                  <wp:posOffset>13970</wp:posOffset>
                </wp:positionV>
                <wp:extent cx="3481070" cy="1222375"/>
                <wp:effectExtent l="0" t="0" r="2413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222375"/>
                        </a:xfrm>
                        <a:prstGeom prst="rect">
                          <a:avLst/>
                        </a:prstGeom>
                        <a:solidFill>
                          <a:schemeClr val="accent1">
                            <a:lumMod val="50000"/>
                          </a:schemeClr>
                        </a:solidFill>
                        <a:ln w="9525">
                          <a:solidFill>
                            <a:srgbClr val="000000"/>
                          </a:solidFill>
                          <a:miter lim="800000"/>
                          <a:headEnd/>
                          <a:tailEnd/>
                        </a:ln>
                      </wps:spPr>
                      <wps:txbx>
                        <w:txbxContent>
                          <w:p w14:paraId="3240E424" w14:textId="599D760C" w:rsidR="00742309" w:rsidRPr="00742309" w:rsidRDefault="00742309" w:rsidP="00742309">
                            <w:pPr>
                              <w:shd w:val="clear" w:color="auto" w:fill="17365D" w:themeFill="text2" w:themeFillShade="BF"/>
                              <w:jc w:val="center"/>
                              <w:rPr>
                                <w:b/>
                                <w:bCs/>
                              </w:rPr>
                            </w:pPr>
                            <w:r>
                              <w:rPr>
                                <w:b/>
                                <w:bCs/>
                              </w:rPr>
                              <w:t>Terminologie</w:t>
                            </w:r>
                          </w:p>
                          <w:p w14:paraId="7E7D1850" w14:textId="24D303C2" w:rsidR="00742309" w:rsidRDefault="00742309" w:rsidP="00742309">
                            <w:pPr>
                              <w:shd w:val="clear" w:color="auto" w:fill="17365D" w:themeFill="text2" w:themeFillShade="BF"/>
                              <w:autoSpaceDE w:val="0"/>
                              <w:autoSpaceDN w:val="0"/>
                              <w:adjustRightInd w:val="0"/>
                              <w:spacing w:after="0" w:line="240" w:lineRule="auto"/>
                              <w:rPr>
                                <w:bCs/>
                              </w:rPr>
                            </w:pPr>
                            <w:r>
                              <w:rPr>
                                <w:rFonts w:cs="Calibri"/>
                              </w:rPr>
                              <w:t xml:space="preserve">RSST : </w:t>
                            </w:r>
                            <w:r w:rsidRPr="00E72E41">
                              <w:rPr>
                                <w:bCs/>
                              </w:rPr>
                              <w:t>R</w:t>
                            </w:r>
                            <w:r w:rsidR="004A3D47">
                              <w:rPr>
                                <w:bCs/>
                              </w:rPr>
                              <w:t>è</w:t>
                            </w:r>
                            <w:r w:rsidRPr="00E72E41">
                              <w:rPr>
                                <w:bCs/>
                              </w:rPr>
                              <w:t>glement sur la santé et la sécurité du travail</w:t>
                            </w:r>
                          </w:p>
                          <w:p w14:paraId="201AA0BD" w14:textId="77777777" w:rsidR="00742309" w:rsidRDefault="00742309" w:rsidP="00742309">
                            <w:pPr>
                              <w:shd w:val="clear" w:color="auto" w:fill="17365D" w:themeFill="text2" w:themeFillShade="BF"/>
                              <w:autoSpaceDE w:val="0"/>
                              <w:autoSpaceDN w:val="0"/>
                              <w:adjustRightInd w:val="0"/>
                              <w:spacing w:after="0" w:line="240" w:lineRule="auto"/>
                              <w:rPr>
                                <w:bCs/>
                              </w:rPr>
                            </w:pPr>
                            <w:r>
                              <w:rPr>
                                <w:bCs/>
                              </w:rPr>
                              <w:t xml:space="preserve">CSTC : Code de sécurité pour les travaux de construction  </w:t>
                            </w:r>
                          </w:p>
                          <w:p w14:paraId="389526E3" w14:textId="77777777" w:rsidR="00742309" w:rsidRPr="00742309" w:rsidRDefault="00742309" w:rsidP="00742309">
                            <w:pPr>
                              <w:shd w:val="clear" w:color="auto" w:fill="17365D" w:themeFill="text2" w:themeFillShade="BF"/>
                              <w:autoSpaceDE w:val="0"/>
                              <w:autoSpaceDN w:val="0"/>
                              <w:adjustRightInd w:val="0"/>
                              <w:spacing w:after="0" w:line="240" w:lineRule="auto"/>
                              <w:rPr>
                                <w:rFonts w:cs="Calibri"/>
                              </w:rPr>
                            </w:pPr>
                            <w:r w:rsidRPr="00742309">
                              <w:rPr>
                                <w:bCs/>
                              </w:rPr>
                              <w:t>CSA : Canadian standard association</w:t>
                            </w:r>
                          </w:p>
                          <w:p w14:paraId="4D019D18" w14:textId="77777777" w:rsidR="00742309" w:rsidRPr="004C4927" w:rsidRDefault="00742309" w:rsidP="00742309">
                            <w:pPr>
                              <w:shd w:val="clear" w:color="auto" w:fill="17365D" w:themeFill="text2" w:themeFillShade="BF"/>
                              <w:autoSpaceDE w:val="0"/>
                              <w:autoSpaceDN w:val="0"/>
                              <w:adjustRightInd w:val="0"/>
                              <w:spacing w:after="0" w:line="240" w:lineRule="auto"/>
                              <w:rPr>
                                <w:rFonts w:cs="Calibri"/>
                              </w:rPr>
                            </w:pPr>
                            <w:r w:rsidRPr="004C4927">
                              <w:rPr>
                                <w:rFonts w:cs="Calibri"/>
                              </w:rPr>
                              <w:t>LSST : Loi sur la santé e</w:t>
                            </w:r>
                            <w:r>
                              <w:rPr>
                                <w:rFonts w:cs="Calibri"/>
                              </w:rPr>
                              <w:t>t la sécurité au travail</w:t>
                            </w:r>
                          </w:p>
                          <w:p w14:paraId="283EE523" w14:textId="68D65EFB" w:rsidR="00742309" w:rsidRDefault="00742309" w:rsidP="00742309">
                            <w:pPr>
                              <w:shd w:val="clear" w:color="auto" w:fill="17365D" w:themeFill="text2"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5C19F" id="_x0000_t202" coordsize="21600,21600" o:spt="202" path="m,l,21600r21600,l21600,xe">
                <v:stroke joinstyle="miter"/>
                <v:path gradientshapeok="t" o:connecttype="rect"/>
              </v:shapetype>
              <v:shape id="Zone de texte 2" o:spid="_x0000_s1026" type="#_x0000_t202" style="position:absolute;margin-left:391.55pt;margin-top:1.1pt;width:274.1pt;height:9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" fillcolor="#243f60 [1604]">
                <v:textbox>
                  <w:txbxContent>
                    <w:p w14:paraId="3240E424" w14:textId="599D760C" w:rsidR="00742309" w:rsidRPr="00742309" w:rsidRDefault="00742309" w:rsidP="00742309">
                      <w:pPr>
                        <w:shd w:val="clear" w:color="auto" w:fill="17365D" w:themeFill="text2" w:themeFillShade="BF"/>
                        <w:jc w:val="center"/>
                        <w:rPr>
                          <w:b/>
                          <w:bCs/>
                        </w:rPr>
                      </w:pPr>
                      <w:r>
                        <w:rPr>
                          <w:b/>
                          <w:bCs/>
                        </w:rPr>
                        <w:t>Terminologie</w:t>
                      </w:r>
                    </w:p>
                    <w:p w14:paraId="7E7D1850" w14:textId="24D303C2" w:rsidR="00742309" w:rsidRDefault="00742309" w:rsidP="00742309">
                      <w:pPr>
                        <w:shd w:val="clear" w:color="auto" w:fill="17365D" w:themeFill="text2" w:themeFillShade="BF"/>
                        <w:autoSpaceDE w:val="0"/>
                        <w:autoSpaceDN w:val="0"/>
                        <w:adjustRightInd w:val="0"/>
                        <w:spacing w:after="0" w:line="240" w:lineRule="auto"/>
                        <w:rPr>
                          <w:bCs/>
                        </w:rPr>
                      </w:pPr>
                      <w:r>
                        <w:rPr>
                          <w:rFonts w:cs="Calibri"/>
                        </w:rPr>
                        <w:t xml:space="preserve">RSST : </w:t>
                      </w:r>
                      <w:r w:rsidRPr="00E72E41">
                        <w:rPr>
                          <w:bCs/>
                        </w:rPr>
                        <w:t>R</w:t>
                      </w:r>
                      <w:r w:rsidR="004A3D47">
                        <w:rPr>
                          <w:bCs/>
                        </w:rPr>
                        <w:t>è</w:t>
                      </w:r>
                      <w:r w:rsidRPr="00E72E41">
                        <w:rPr>
                          <w:bCs/>
                        </w:rPr>
                        <w:t>glement sur la santé et la sécurité du travail</w:t>
                      </w:r>
                    </w:p>
                    <w:p w14:paraId="201AA0BD" w14:textId="77777777" w:rsidR="00742309" w:rsidRDefault="00742309" w:rsidP="00742309">
                      <w:pPr>
                        <w:shd w:val="clear" w:color="auto" w:fill="17365D" w:themeFill="text2" w:themeFillShade="BF"/>
                        <w:autoSpaceDE w:val="0"/>
                        <w:autoSpaceDN w:val="0"/>
                        <w:adjustRightInd w:val="0"/>
                        <w:spacing w:after="0" w:line="240" w:lineRule="auto"/>
                        <w:rPr>
                          <w:bCs/>
                        </w:rPr>
                      </w:pPr>
                      <w:r>
                        <w:rPr>
                          <w:bCs/>
                        </w:rPr>
                        <w:t xml:space="preserve">CSTC : Code de sécurité pour les travaux de construction  </w:t>
                      </w:r>
                    </w:p>
                    <w:p w14:paraId="389526E3" w14:textId="77777777" w:rsidR="00742309" w:rsidRPr="00742309" w:rsidRDefault="00742309" w:rsidP="00742309">
                      <w:pPr>
                        <w:shd w:val="clear" w:color="auto" w:fill="17365D" w:themeFill="text2" w:themeFillShade="BF"/>
                        <w:autoSpaceDE w:val="0"/>
                        <w:autoSpaceDN w:val="0"/>
                        <w:adjustRightInd w:val="0"/>
                        <w:spacing w:after="0" w:line="240" w:lineRule="auto"/>
                        <w:rPr>
                          <w:rFonts w:cs="Calibri"/>
                        </w:rPr>
                      </w:pPr>
                      <w:r w:rsidRPr="00742309">
                        <w:rPr>
                          <w:bCs/>
                        </w:rPr>
                        <w:t>CSA : Canadian standard association</w:t>
                      </w:r>
                    </w:p>
                    <w:p w14:paraId="4D019D18" w14:textId="77777777" w:rsidR="00742309" w:rsidRPr="004C4927" w:rsidRDefault="00742309" w:rsidP="00742309">
                      <w:pPr>
                        <w:shd w:val="clear" w:color="auto" w:fill="17365D" w:themeFill="text2" w:themeFillShade="BF"/>
                        <w:autoSpaceDE w:val="0"/>
                        <w:autoSpaceDN w:val="0"/>
                        <w:adjustRightInd w:val="0"/>
                        <w:spacing w:after="0" w:line="240" w:lineRule="auto"/>
                        <w:rPr>
                          <w:rFonts w:cs="Calibri"/>
                        </w:rPr>
                      </w:pPr>
                      <w:r w:rsidRPr="004C4927">
                        <w:rPr>
                          <w:rFonts w:cs="Calibri"/>
                        </w:rPr>
                        <w:t>LSST : Loi sur la santé e</w:t>
                      </w:r>
                      <w:r>
                        <w:rPr>
                          <w:rFonts w:cs="Calibri"/>
                        </w:rPr>
                        <w:t>t la sécurité au travail</w:t>
                      </w:r>
                    </w:p>
                    <w:p w14:paraId="283EE523" w14:textId="68D65EFB" w:rsidR="00742309" w:rsidRDefault="00742309" w:rsidP="00742309">
                      <w:pPr>
                        <w:shd w:val="clear" w:color="auto" w:fill="17365D" w:themeFill="text2" w:themeFillShade="BF"/>
                      </w:pPr>
                    </w:p>
                  </w:txbxContent>
                </v:textbox>
                <w10:wrap type="square" anchorx="margin"/>
              </v:shape>
            </w:pict>
          </mc:Fallback>
        </mc:AlternateContent>
      </w:r>
      <w:r w:rsidR="00C90815">
        <w:rPr>
          <w:rFonts w:ascii="Calibri" w:hAnsi="Calibri" w:cs="Calibri"/>
          <w:color w:val="222222"/>
          <w:shd w:val="clear" w:color="auto" w:fill="FFFFFF"/>
        </w:rPr>
        <w:t>L’objectif de ce tableau est de fournir des informations qui pourront être utilisé</w:t>
      </w:r>
      <w:r w:rsidR="001613A4">
        <w:rPr>
          <w:rFonts w:ascii="Calibri" w:hAnsi="Calibri" w:cs="Calibri"/>
          <w:color w:val="222222"/>
          <w:shd w:val="clear" w:color="auto" w:fill="FFFFFF"/>
        </w:rPr>
        <w:t>e</w:t>
      </w:r>
      <w:r w:rsidR="00A12415">
        <w:rPr>
          <w:rFonts w:ascii="Calibri" w:hAnsi="Calibri" w:cs="Calibri"/>
          <w:color w:val="222222"/>
          <w:shd w:val="clear" w:color="auto" w:fill="FFFFFF"/>
        </w:rPr>
        <w:t>s</w:t>
      </w:r>
      <w:r w:rsidR="00C90815">
        <w:rPr>
          <w:rFonts w:ascii="Calibri" w:hAnsi="Calibri" w:cs="Calibri"/>
          <w:color w:val="222222"/>
          <w:shd w:val="clear" w:color="auto" w:fill="FFFFFF"/>
        </w:rPr>
        <w:t xml:space="preserve"> lors de la rédaction du plan d’investissement. </w:t>
      </w:r>
    </w:p>
    <w:p w14:paraId="369F607E" w14:textId="0C9235D2" w:rsidR="00742309" w:rsidRPr="00742309" w:rsidRDefault="00C90815" w:rsidP="00C90815">
      <w:pPr>
        <w:rPr>
          <w:rFonts w:ascii="Calibri" w:hAnsi="Calibri" w:cs="Calibri"/>
          <w:color w:val="222222"/>
          <w:shd w:val="clear" w:color="auto" w:fill="FFFFFF"/>
        </w:rPr>
      </w:pPr>
      <w:r w:rsidRPr="00C90815">
        <w:rPr>
          <w:rFonts w:ascii="Calibri" w:hAnsi="Calibri" w:cs="Calibri"/>
          <w:b/>
          <w:bCs/>
          <w:color w:val="222222"/>
          <w:shd w:val="clear" w:color="auto" w:fill="FFFFFF"/>
        </w:rPr>
        <w:t>Présentation du tableau</w:t>
      </w:r>
      <w:r>
        <w:rPr>
          <w:rFonts w:ascii="Calibri" w:hAnsi="Calibri" w:cs="Calibri"/>
          <w:b/>
          <w:bCs/>
          <w:color w:val="222222"/>
          <w:shd w:val="clear" w:color="auto" w:fill="FFFFFF"/>
        </w:rPr>
        <w:t xml:space="preserve"> : </w:t>
      </w:r>
      <w:r>
        <w:rPr>
          <w:rFonts w:ascii="Calibri" w:hAnsi="Calibri" w:cs="Calibri"/>
          <w:color w:val="222222"/>
          <w:shd w:val="clear" w:color="auto" w:fill="FFFFFF"/>
        </w:rPr>
        <w:t>Les équipements susceptibles d’être utilisés pour le travail en hauteur sont présenté</w:t>
      </w:r>
      <w:r w:rsidR="004B0E51">
        <w:rPr>
          <w:rFonts w:ascii="Calibri" w:hAnsi="Calibri" w:cs="Calibri"/>
          <w:color w:val="222222"/>
          <w:shd w:val="clear" w:color="auto" w:fill="FFFFFF"/>
        </w:rPr>
        <w:t>s</w:t>
      </w:r>
      <w:r>
        <w:rPr>
          <w:rFonts w:ascii="Calibri" w:hAnsi="Calibri" w:cs="Calibri"/>
          <w:color w:val="222222"/>
          <w:shd w:val="clear" w:color="auto" w:fill="FFFFFF"/>
        </w:rPr>
        <w:t xml:space="preserve"> et pour chacun</w:t>
      </w:r>
      <w:r w:rsidR="001613A4">
        <w:rPr>
          <w:rFonts w:ascii="Calibri" w:hAnsi="Calibri" w:cs="Calibri"/>
          <w:color w:val="222222"/>
          <w:shd w:val="clear" w:color="auto" w:fill="FFFFFF"/>
        </w:rPr>
        <w:t xml:space="preserve"> d’eux</w:t>
      </w:r>
      <w:r>
        <w:rPr>
          <w:rFonts w:ascii="Calibri" w:hAnsi="Calibri" w:cs="Calibri"/>
          <w:color w:val="222222"/>
          <w:shd w:val="clear" w:color="auto" w:fill="FFFFFF"/>
        </w:rPr>
        <w:t xml:space="preserve">, les particularités concernant l’inspection, l’installation ou la formation </w:t>
      </w:r>
      <w:r w:rsidR="001613A4">
        <w:rPr>
          <w:rFonts w:ascii="Calibri" w:hAnsi="Calibri" w:cs="Calibri"/>
          <w:color w:val="222222"/>
          <w:shd w:val="clear" w:color="auto" w:fill="FFFFFF"/>
        </w:rPr>
        <w:t>sont</w:t>
      </w:r>
      <w:r>
        <w:rPr>
          <w:rFonts w:ascii="Calibri" w:hAnsi="Calibri" w:cs="Calibri"/>
          <w:color w:val="222222"/>
          <w:shd w:val="clear" w:color="auto" w:fill="FFFFFF"/>
        </w:rPr>
        <w:t xml:space="preserve"> indiqué</w:t>
      </w:r>
      <w:r w:rsidR="001613A4">
        <w:rPr>
          <w:rFonts w:ascii="Calibri" w:hAnsi="Calibri" w:cs="Calibri"/>
          <w:color w:val="222222"/>
          <w:shd w:val="clear" w:color="auto" w:fill="FFFFFF"/>
        </w:rPr>
        <w:t>es</w:t>
      </w:r>
      <w:r>
        <w:rPr>
          <w:rFonts w:ascii="Calibri" w:hAnsi="Calibri" w:cs="Calibri"/>
          <w:color w:val="222222"/>
          <w:shd w:val="clear" w:color="auto" w:fill="FFFFFF"/>
        </w:rPr>
        <w:t xml:space="preserve"> en plus de la r</w:t>
      </w:r>
      <w:r w:rsidR="00547BCF">
        <w:rPr>
          <w:rFonts w:ascii="Calibri" w:hAnsi="Calibri" w:cs="Calibri"/>
          <w:color w:val="222222"/>
          <w:shd w:val="clear" w:color="auto" w:fill="FFFFFF"/>
        </w:rPr>
        <w:t>é</w:t>
      </w:r>
      <w:r>
        <w:rPr>
          <w:rFonts w:ascii="Calibri" w:hAnsi="Calibri" w:cs="Calibri"/>
          <w:color w:val="222222"/>
          <w:shd w:val="clear" w:color="auto" w:fill="FFFFFF"/>
        </w:rPr>
        <w:t>glementation applicable. En dernier lieu, un niveau de risque est associé pour chaque équipement</w:t>
      </w:r>
      <w:r>
        <w:t xml:space="preserve">. </w:t>
      </w:r>
      <w:r w:rsidRPr="00C90815">
        <w:rPr>
          <w:rFonts w:ascii="Calibri" w:hAnsi="Calibri" w:cs="Calibri"/>
          <w:color w:val="222222"/>
          <w:shd w:val="clear" w:color="auto" w:fill="FFFFFF"/>
        </w:rPr>
        <w:t>Celui-ci reflète la hiérarchisation des risques présentés dans le programme-cadre.</w:t>
      </w:r>
    </w:p>
    <w:p w14:paraId="10C101E6" w14:textId="577288C7" w:rsidR="00BA632C" w:rsidRDefault="00BA632C" w:rsidP="001249AD">
      <w:pPr>
        <w:autoSpaceDE w:val="0"/>
        <w:autoSpaceDN w:val="0"/>
        <w:adjustRightInd w:val="0"/>
        <w:spacing w:after="0" w:line="240" w:lineRule="auto"/>
        <w:rPr>
          <w:rFonts w:cs="Calibri"/>
        </w:rPr>
      </w:pPr>
    </w:p>
    <w:tbl>
      <w:tblPr>
        <w:tblStyle w:val="TableauGrille1Clair-Accentuation5"/>
        <w:tblW w:w="13320" w:type="dxa"/>
        <w:tblLayout w:type="fixed"/>
        <w:tblLook w:val="04A0" w:firstRow="1" w:lastRow="0" w:firstColumn="1" w:lastColumn="0" w:noHBand="0" w:noVBand="1"/>
      </w:tblPr>
      <w:tblGrid>
        <w:gridCol w:w="2263"/>
        <w:gridCol w:w="6804"/>
        <w:gridCol w:w="3119"/>
        <w:gridCol w:w="1134"/>
      </w:tblGrid>
      <w:tr w:rsidR="008E01E1" w:rsidRPr="00A24F55" w14:paraId="619FC39E" w14:textId="77777777" w:rsidTr="008E01E1">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263" w:type="dxa"/>
            <w:shd w:val="clear" w:color="auto" w:fill="17365D" w:themeFill="text2" w:themeFillShade="BF"/>
          </w:tcPr>
          <w:p w14:paraId="01E76611" w14:textId="6728E8B1" w:rsidR="00EB0E27" w:rsidRPr="00A24F55" w:rsidRDefault="00EB0E27" w:rsidP="00A375B5">
            <w:pPr>
              <w:rPr>
                <w:b w:val="0"/>
              </w:rPr>
            </w:pPr>
            <w:r w:rsidRPr="00A24F55">
              <w:t>Équipement</w:t>
            </w:r>
          </w:p>
        </w:tc>
        <w:tc>
          <w:tcPr>
            <w:tcW w:w="6804" w:type="dxa"/>
            <w:shd w:val="clear" w:color="auto" w:fill="17365D" w:themeFill="text2" w:themeFillShade="BF"/>
          </w:tcPr>
          <w:p w14:paraId="254345C9" w14:textId="716B5650" w:rsidR="00EB0E27" w:rsidRPr="00A24F55" w:rsidRDefault="00EB0E27" w:rsidP="00A375B5">
            <w:pPr>
              <w:cnfStyle w:val="100000000000" w:firstRow="1" w:lastRow="0" w:firstColumn="0" w:lastColumn="0" w:oddVBand="0" w:evenVBand="0" w:oddHBand="0" w:evenHBand="0" w:firstRowFirstColumn="0" w:firstRowLastColumn="0" w:lastRowFirstColumn="0" w:lastRowLastColumn="0"/>
              <w:rPr>
                <w:bCs w:val="0"/>
              </w:rPr>
            </w:pPr>
            <w:r w:rsidRPr="00A24F55">
              <w:rPr>
                <w:bCs w:val="0"/>
              </w:rPr>
              <w:t>Particularités</w:t>
            </w:r>
          </w:p>
        </w:tc>
        <w:tc>
          <w:tcPr>
            <w:tcW w:w="3119" w:type="dxa"/>
            <w:shd w:val="clear" w:color="auto" w:fill="17365D" w:themeFill="text2" w:themeFillShade="BF"/>
          </w:tcPr>
          <w:p w14:paraId="77317287" w14:textId="6148669C" w:rsidR="00EB0E27" w:rsidRPr="00A24F55" w:rsidRDefault="00EB0E27" w:rsidP="00A375B5">
            <w:pPr>
              <w:autoSpaceDE w:val="0"/>
              <w:autoSpaceDN w:val="0"/>
              <w:adjustRightInd w:val="0"/>
              <w:cnfStyle w:val="100000000000" w:firstRow="1" w:lastRow="0" w:firstColumn="0" w:lastColumn="0" w:oddVBand="0" w:evenVBand="0" w:oddHBand="0" w:evenHBand="0" w:firstRowFirstColumn="0" w:firstRowLastColumn="0" w:lastRowFirstColumn="0" w:lastRowLastColumn="0"/>
              <w:rPr>
                <w:bCs w:val="0"/>
              </w:rPr>
            </w:pPr>
            <w:r w:rsidRPr="00A24F55">
              <w:rPr>
                <w:bCs w:val="0"/>
              </w:rPr>
              <w:t>R</w:t>
            </w:r>
            <w:r w:rsidR="00547BCF">
              <w:rPr>
                <w:bCs w:val="0"/>
              </w:rPr>
              <w:t>é</w:t>
            </w:r>
            <w:r w:rsidRPr="00A24F55">
              <w:rPr>
                <w:bCs w:val="0"/>
              </w:rPr>
              <w:t>glementation applicable</w:t>
            </w:r>
          </w:p>
        </w:tc>
        <w:tc>
          <w:tcPr>
            <w:tcW w:w="1134" w:type="dxa"/>
            <w:shd w:val="clear" w:color="auto" w:fill="17365D" w:themeFill="text2" w:themeFillShade="BF"/>
          </w:tcPr>
          <w:p w14:paraId="20D8FEEC" w14:textId="1E66A8BA" w:rsidR="00EB0E27" w:rsidRPr="00A24F55" w:rsidRDefault="00EB0E27" w:rsidP="00A375B5">
            <w:pPr>
              <w:cnfStyle w:val="100000000000" w:firstRow="1" w:lastRow="0" w:firstColumn="0" w:lastColumn="0" w:oddVBand="0" w:evenVBand="0" w:oddHBand="0" w:evenHBand="0" w:firstRowFirstColumn="0" w:firstRowLastColumn="0" w:lastRowFirstColumn="0" w:lastRowLastColumn="0"/>
              <w:rPr>
                <w:bCs w:val="0"/>
              </w:rPr>
            </w:pPr>
            <w:r w:rsidRPr="00A24F55">
              <w:rPr>
                <w:bCs w:val="0"/>
              </w:rPr>
              <w:t>Niveau de risque</w:t>
            </w:r>
          </w:p>
        </w:tc>
      </w:tr>
      <w:tr w:rsidR="00A375B5" w:rsidRPr="00461E8D" w14:paraId="5B944214" w14:textId="77777777" w:rsidTr="008E01E1">
        <w:trPr>
          <w:trHeight w:val="6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31169505" w14:textId="46648DC2" w:rsidR="00A375B5" w:rsidRPr="00CD1B74" w:rsidRDefault="00A375B5" w:rsidP="00A375B5">
            <w:pPr>
              <w:rPr>
                <w:b w:val="0"/>
                <w:bCs w:val="0"/>
              </w:rPr>
            </w:pPr>
            <w:r>
              <w:t xml:space="preserve">Équipement de levage (nacelle ou </w:t>
            </w:r>
            <w:proofErr w:type="spellStart"/>
            <w:r>
              <w:t>skyjack</w:t>
            </w:r>
            <w:proofErr w:type="spellEnd"/>
            <w:r>
              <w:t>)</w:t>
            </w:r>
          </w:p>
        </w:tc>
        <w:tc>
          <w:tcPr>
            <w:tcW w:w="6804" w:type="dxa"/>
          </w:tcPr>
          <w:p w14:paraId="3F7D70EC" w14:textId="6D7A9F20" w:rsidR="00A375B5" w:rsidRPr="00BA632C"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w:t>
            </w:r>
            <w:r w:rsidRPr="00BA632C">
              <w:rPr>
                <w:rFonts w:cs="Calibri"/>
              </w:rPr>
              <w:t>nspection quotidienne</w:t>
            </w:r>
            <w:r>
              <w:rPr>
                <w:rFonts w:cs="Calibri"/>
              </w:rPr>
              <w:t xml:space="preserve"> par le travailleur</w:t>
            </w:r>
            <w:r w:rsidR="00130352">
              <w:rPr>
                <w:rFonts w:cs="Calibri"/>
              </w:rPr>
              <w:t>.</w:t>
            </w:r>
          </w:p>
          <w:p w14:paraId="4A5FB52F" w14:textId="77777777" w:rsidR="00A375B5" w:rsidRPr="00BA632C"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tc>
        <w:tc>
          <w:tcPr>
            <w:tcW w:w="3119" w:type="dxa"/>
            <w:vMerge w:val="restart"/>
          </w:tcPr>
          <w:p w14:paraId="0E290104" w14:textId="6CBAC6E6" w:rsidR="00A375B5" w:rsidRPr="00065FA1" w:rsidRDefault="00C81C9D" w:rsidP="00A375B5">
            <w:pPr>
              <w:cnfStyle w:val="000000000000" w:firstRow="0" w:lastRow="0" w:firstColumn="0" w:lastColumn="0" w:oddVBand="0" w:evenVBand="0" w:oddHBand="0" w:evenHBand="0" w:firstRowFirstColumn="0" w:firstRowLastColumn="0" w:lastRowFirstColumn="0" w:lastRowLastColumn="0"/>
              <w:rPr>
                <w:rFonts w:cs="Calibri"/>
                <w:lang w:val="en-CA"/>
              </w:rPr>
            </w:pPr>
            <w:proofErr w:type="spellStart"/>
            <w:r>
              <w:rPr>
                <w:rFonts w:cs="Calibri"/>
                <w:lang w:val="en-CA"/>
              </w:rPr>
              <w:t>Norme</w:t>
            </w:r>
            <w:proofErr w:type="spellEnd"/>
            <w:r w:rsidR="00065FA1">
              <w:rPr>
                <w:rFonts w:cs="Calibri"/>
                <w:lang w:val="en-CA"/>
              </w:rPr>
              <w:t xml:space="preserve"> </w:t>
            </w:r>
            <w:r w:rsidR="00065FA1" w:rsidRPr="001613A4">
              <w:rPr>
                <w:rFonts w:cs="Calibri"/>
                <w:i/>
                <w:iCs/>
                <w:lang w:val="en-CA"/>
              </w:rPr>
              <w:t>CSA</w:t>
            </w:r>
            <w:r w:rsidR="00D6712B">
              <w:rPr>
                <w:rFonts w:cs="Calibri"/>
                <w:i/>
                <w:iCs/>
                <w:lang w:val="en-CA"/>
              </w:rPr>
              <w:t> </w:t>
            </w:r>
            <w:proofErr w:type="gramStart"/>
            <w:r w:rsidR="00065FA1" w:rsidRPr="001613A4">
              <w:rPr>
                <w:rFonts w:cs="Calibri"/>
                <w:i/>
                <w:iCs/>
                <w:lang w:val="en-CA"/>
              </w:rPr>
              <w:t>B354.7.</w:t>
            </w:r>
            <w:r w:rsidR="00D6712B">
              <w:rPr>
                <w:rFonts w:cs="Calibri"/>
                <w:i/>
                <w:iCs/>
                <w:lang w:val="en-CA"/>
              </w:rPr>
              <w:t> </w:t>
            </w:r>
            <w:r w:rsidR="00065FA1" w:rsidRPr="001613A4">
              <w:rPr>
                <w:rFonts w:cs="Calibri"/>
                <w:i/>
                <w:iCs/>
                <w:lang w:val="en-CA"/>
              </w:rPr>
              <w:t>:</w:t>
            </w:r>
            <w:proofErr w:type="gramEnd"/>
            <w:r w:rsidRPr="001613A4">
              <w:rPr>
                <w:rFonts w:cs="Calibri"/>
                <w:i/>
                <w:iCs/>
                <w:lang w:val="en-CA"/>
              </w:rPr>
              <w:t xml:space="preserve"> </w:t>
            </w:r>
            <w:r w:rsidR="00A375B5" w:rsidRPr="001613A4">
              <w:rPr>
                <w:rFonts w:cs="Calibri"/>
                <w:i/>
                <w:iCs/>
                <w:lang w:val="en-CA"/>
              </w:rPr>
              <w:t xml:space="preserve">Mobile elevating work </w:t>
            </w:r>
            <w:proofErr w:type="spellStart"/>
            <w:r w:rsidR="00A375B5" w:rsidRPr="001613A4">
              <w:rPr>
                <w:rFonts w:cs="Calibri"/>
                <w:i/>
                <w:iCs/>
                <w:lang w:val="en-CA"/>
              </w:rPr>
              <w:t>plateforms</w:t>
            </w:r>
            <w:proofErr w:type="spellEnd"/>
            <w:r w:rsidR="00A375B5" w:rsidRPr="00461E8D">
              <w:rPr>
                <w:rFonts w:cs="Calibri"/>
                <w:lang w:val="en-CA"/>
              </w:rPr>
              <w:t> </w:t>
            </w:r>
            <w:r w:rsidR="00A375B5" w:rsidRPr="001613A4">
              <w:rPr>
                <w:rFonts w:cs="Calibri"/>
                <w:i/>
                <w:iCs/>
                <w:lang w:val="en-CA"/>
              </w:rPr>
              <w:t>: Safety principles, inspection, maintenance and operation</w:t>
            </w:r>
            <w:r w:rsidR="00A375B5">
              <w:rPr>
                <w:rFonts w:cs="Calibri"/>
                <w:lang w:val="en-CA"/>
              </w:rPr>
              <w:t>.</w:t>
            </w:r>
          </w:p>
        </w:tc>
        <w:tc>
          <w:tcPr>
            <w:tcW w:w="1134" w:type="dxa"/>
            <w:vMerge w:val="restart"/>
          </w:tcPr>
          <w:p w14:paraId="010FF0C4" w14:textId="61891004" w:rsidR="00A375B5" w:rsidRPr="00461E8D" w:rsidRDefault="00A375B5" w:rsidP="00A375B5">
            <w:pPr>
              <w:cnfStyle w:val="000000000000" w:firstRow="0" w:lastRow="0" w:firstColumn="0" w:lastColumn="0" w:oddVBand="0" w:evenVBand="0" w:oddHBand="0" w:evenHBand="0" w:firstRowFirstColumn="0" w:firstRowLastColumn="0" w:lastRowFirstColumn="0" w:lastRowLastColumn="0"/>
              <w:rPr>
                <w:b/>
                <w:lang w:val="en-CA"/>
              </w:rPr>
            </w:pPr>
            <w:proofErr w:type="spellStart"/>
            <w:r>
              <w:rPr>
                <w:b/>
                <w:lang w:val="en-CA"/>
              </w:rPr>
              <w:t>Modéré</w:t>
            </w:r>
            <w:proofErr w:type="spellEnd"/>
          </w:p>
        </w:tc>
      </w:tr>
      <w:tr w:rsidR="00A375B5" w14:paraId="3A5EB854" w14:textId="77777777" w:rsidTr="008E01E1">
        <w:trPr>
          <w:trHeight w:val="65"/>
        </w:trPr>
        <w:tc>
          <w:tcPr>
            <w:cnfStyle w:val="001000000000" w:firstRow="0" w:lastRow="0" w:firstColumn="1" w:lastColumn="0" w:oddVBand="0" w:evenVBand="0" w:oddHBand="0" w:evenHBand="0" w:firstRowFirstColumn="0" w:firstRowLastColumn="0" w:lastRowFirstColumn="0" w:lastRowLastColumn="0"/>
            <w:tcW w:w="2263" w:type="dxa"/>
            <w:vMerge/>
          </w:tcPr>
          <w:p w14:paraId="0E114752" w14:textId="77777777" w:rsidR="00A375B5" w:rsidRPr="00461E8D" w:rsidRDefault="00A375B5" w:rsidP="00A375B5">
            <w:pPr>
              <w:rPr>
                <w:b w:val="0"/>
                <w:bCs w:val="0"/>
                <w:lang w:val="en-CA"/>
              </w:rPr>
            </w:pPr>
          </w:p>
        </w:tc>
        <w:tc>
          <w:tcPr>
            <w:tcW w:w="6804" w:type="dxa"/>
          </w:tcPr>
          <w:p w14:paraId="44F213F0" w14:textId="39423D4D" w:rsidR="00A375B5" w:rsidRPr="00BA632C"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w:t>
            </w:r>
            <w:r w:rsidRPr="00BA632C">
              <w:rPr>
                <w:rFonts w:cs="Calibri"/>
              </w:rPr>
              <w:t>nspection périodique requise par le fabricant</w:t>
            </w:r>
            <w:r>
              <w:rPr>
                <w:rFonts w:cs="Calibri"/>
              </w:rPr>
              <w:t xml:space="preserve"> ou le fournisseur selon le manuel du fabricant de l’équipement</w:t>
            </w:r>
            <w:r w:rsidR="00130352">
              <w:rPr>
                <w:rFonts w:cs="Calibri"/>
              </w:rPr>
              <w:t>.</w:t>
            </w:r>
          </w:p>
          <w:p w14:paraId="47E9BEF9" w14:textId="77777777" w:rsidR="00A375B5"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tc>
        <w:tc>
          <w:tcPr>
            <w:tcW w:w="3119" w:type="dxa"/>
            <w:vMerge/>
          </w:tcPr>
          <w:p w14:paraId="6D503A69" w14:textId="77777777" w:rsidR="00A375B5" w:rsidRDefault="00A375B5" w:rsidP="00A375B5">
            <w:pPr>
              <w:cnfStyle w:val="000000000000" w:firstRow="0" w:lastRow="0" w:firstColumn="0" w:lastColumn="0" w:oddVBand="0" w:evenVBand="0" w:oddHBand="0" w:evenHBand="0" w:firstRowFirstColumn="0" w:firstRowLastColumn="0" w:lastRowFirstColumn="0" w:lastRowLastColumn="0"/>
              <w:rPr>
                <w:b/>
              </w:rPr>
            </w:pPr>
          </w:p>
        </w:tc>
        <w:tc>
          <w:tcPr>
            <w:tcW w:w="1134" w:type="dxa"/>
            <w:vMerge/>
          </w:tcPr>
          <w:p w14:paraId="09486BDD" w14:textId="77777777" w:rsidR="00A375B5" w:rsidRPr="000D5B2C" w:rsidRDefault="00A375B5" w:rsidP="00A375B5">
            <w:pPr>
              <w:cnfStyle w:val="000000000000" w:firstRow="0" w:lastRow="0" w:firstColumn="0" w:lastColumn="0" w:oddVBand="0" w:evenVBand="0" w:oddHBand="0" w:evenHBand="0" w:firstRowFirstColumn="0" w:firstRowLastColumn="0" w:lastRowFirstColumn="0" w:lastRowLastColumn="0"/>
              <w:rPr>
                <w:b/>
              </w:rPr>
            </w:pPr>
          </w:p>
        </w:tc>
      </w:tr>
      <w:tr w:rsidR="00A375B5" w14:paraId="58052603" w14:textId="77777777" w:rsidTr="008E01E1">
        <w:trPr>
          <w:trHeight w:val="1601"/>
        </w:trPr>
        <w:tc>
          <w:tcPr>
            <w:cnfStyle w:val="001000000000" w:firstRow="0" w:lastRow="0" w:firstColumn="1" w:lastColumn="0" w:oddVBand="0" w:evenVBand="0" w:oddHBand="0" w:evenHBand="0" w:firstRowFirstColumn="0" w:firstRowLastColumn="0" w:lastRowFirstColumn="0" w:lastRowLastColumn="0"/>
            <w:tcW w:w="2263" w:type="dxa"/>
            <w:vMerge/>
          </w:tcPr>
          <w:p w14:paraId="56CE8656" w14:textId="77777777" w:rsidR="00A375B5" w:rsidRPr="00CD1B74" w:rsidRDefault="00A375B5" w:rsidP="00A375B5">
            <w:pPr>
              <w:rPr>
                <w:b w:val="0"/>
                <w:bCs w:val="0"/>
              </w:rPr>
            </w:pPr>
          </w:p>
        </w:tc>
        <w:tc>
          <w:tcPr>
            <w:tcW w:w="6804" w:type="dxa"/>
          </w:tcPr>
          <w:p w14:paraId="077C88D4" w14:textId="00FFF698" w:rsidR="00A375B5" w:rsidRDefault="00A375B5" w:rsidP="00BF2870">
            <w:pPr>
              <w:keepNext/>
              <w:keepLine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w:t>
            </w:r>
            <w:r w:rsidRPr="00BA632C">
              <w:rPr>
                <w:rFonts w:cs="Calibri"/>
              </w:rPr>
              <w:t>nspection de la structure sous la surveillance d</w:t>
            </w:r>
            <w:r w:rsidR="00D6712B">
              <w:rPr>
                <w:rFonts w:cs="Calibri"/>
              </w:rPr>
              <w:t>’</w:t>
            </w:r>
            <w:r w:rsidRPr="00BA632C">
              <w:rPr>
                <w:rFonts w:cs="Calibri"/>
              </w:rPr>
              <w:t>un ingénieur</w:t>
            </w:r>
            <w:r w:rsidR="00D6712B">
              <w:rPr>
                <w:rFonts w:cs="Calibri"/>
              </w:rPr>
              <w:t> </w:t>
            </w:r>
            <w:r w:rsidRPr="00BA632C">
              <w:rPr>
                <w:rFonts w:cs="Calibri"/>
              </w:rPr>
              <w:t>:</w:t>
            </w:r>
          </w:p>
          <w:p w14:paraId="4FB7D6EE" w14:textId="098D8A0C" w:rsidR="00A375B5" w:rsidRDefault="00A375B5" w:rsidP="00A375B5">
            <w:pPr>
              <w:pStyle w:val="Paragraphedeliste"/>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BA632C">
              <w:rPr>
                <w:rFonts w:cs="Calibri"/>
              </w:rPr>
              <w:t>10 ans après la construction des plateformes élévatrices et tous les 5 ans par la suite</w:t>
            </w:r>
            <w:r w:rsidR="00D6712B">
              <w:rPr>
                <w:rFonts w:cs="Calibri"/>
              </w:rPr>
              <w:t> </w:t>
            </w:r>
            <w:r w:rsidR="00130352">
              <w:rPr>
                <w:rFonts w:cs="Calibri"/>
              </w:rPr>
              <w:t>;</w:t>
            </w:r>
          </w:p>
          <w:p w14:paraId="127EBA42" w14:textId="15F59E3E" w:rsidR="00A375B5" w:rsidRPr="00BA632C" w:rsidRDefault="00A375B5" w:rsidP="00A375B5">
            <w:pPr>
              <w:pStyle w:val="Paragraphedeliste"/>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roofErr w:type="gramStart"/>
            <w:r w:rsidRPr="00BA632C">
              <w:rPr>
                <w:rFonts w:cs="Calibri"/>
              </w:rPr>
              <w:t>après</w:t>
            </w:r>
            <w:proofErr w:type="gramEnd"/>
            <w:r w:rsidRPr="00BA632C">
              <w:rPr>
                <w:rFonts w:cs="Calibri"/>
              </w:rPr>
              <w:t xml:space="preserve"> un incident ayant causé des dommages structuraux</w:t>
            </w:r>
            <w:r w:rsidR="00D6712B">
              <w:rPr>
                <w:rFonts w:cs="Calibri"/>
              </w:rPr>
              <w:t> </w:t>
            </w:r>
            <w:r w:rsidR="00130352">
              <w:rPr>
                <w:rFonts w:cs="Calibri"/>
              </w:rPr>
              <w:t>;</w:t>
            </w:r>
          </w:p>
          <w:p w14:paraId="320FB97D" w14:textId="64C17538" w:rsidR="00A375B5" w:rsidRPr="00BA632C" w:rsidRDefault="00A375B5" w:rsidP="00A375B5">
            <w:pPr>
              <w:pStyle w:val="Paragraphedeliste"/>
              <w:numPr>
                <w:ilvl w:val="0"/>
                <w:numId w:val="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roofErr w:type="gramStart"/>
            <w:r w:rsidRPr="00BA632C">
              <w:rPr>
                <w:rFonts w:cs="Calibri"/>
              </w:rPr>
              <w:t>au</w:t>
            </w:r>
            <w:proofErr w:type="gramEnd"/>
            <w:r w:rsidRPr="00BA632C">
              <w:rPr>
                <w:rFonts w:cs="Calibri"/>
              </w:rPr>
              <w:t xml:space="preserve"> moment d</w:t>
            </w:r>
            <w:r w:rsidR="00D6712B">
              <w:rPr>
                <w:rFonts w:cs="Calibri"/>
              </w:rPr>
              <w:t>’</w:t>
            </w:r>
            <w:r w:rsidRPr="00BA632C">
              <w:rPr>
                <w:rFonts w:cs="Calibri"/>
              </w:rPr>
              <w:t>un transfert de propriété</w:t>
            </w:r>
            <w:r w:rsidR="00130352">
              <w:rPr>
                <w:rFonts w:cs="Calibri"/>
              </w:rPr>
              <w:t>.</w:t>
            </w:r>
          </w:p>
          <w:p w14:paraId="4C046DEE" w14:textId="0FBE496E" w:rsidR="00A375B5" w:rsidRPr="00BA632C"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p>
        </w:tc>
        <w:tc>
          <w:tcPr>
            <w:tcW w:w="3119" w:type="dxa"/>
            <w:vMerge/>
          </w:tcPr>
          <w:p w14:paraId="60FA1162" w14:textId="77777777" w:rsidR="00A375B5" w:rsidRDefault="00A375B5" w:rsidP="00A375B5">
            <w:pPr>
              <w:cnfStyle w:val="000000000000" w:firstRow="0" w:lastRow="0" w:firstColumn="0" w:lastColumn="0" w:oddVBand="0" w:evenVBand="0" w:oddHBand="0" w:evenHBand="0" w:firstRowFirstColumn="0" w:firstRowLastColumn="0" w:lastRowFirstColumn="0" w:lastRowLastColumn="0"/>
              <w:rPr>
                <w:b/>
              </w:rPr>
            </w:pPr>
          </w:p>
        </w:tc>
        <w:tc>
          <w:tcPr>
            <w:tcW w:w="1134" w:type="dxa"/>
            <w:vMerge/>
          </w:tcPr>
          <w:p w14:paraId="018EA2B8" w14:textId="77777777" w:rsidR="00A375B5" w:rsidRPr="000D5B2C" w:rsidRDefault="00A375B5" w:rsidP="00A375B5">
            <w:pPr>
              <w:cnfStyle w:val="000000000000" w:firstRow="0" w:lastRow="0" w:firstColumn="0" w:lastColumn="0" w:oddVBand="0" w:evenVBand="0" w:oddHBand="0" w:evenHBand="0" w:firstRowFirstColumn="0" w:firstRowLastColumn="0" w:lastRowFirstColumn="0" w:lastRowLastColumn="0"/>
              <w:rPr>
                <w:b/>
              </w:rPr>
            </w:pPr>
          </w:p>
        </w:tc>
      </w:tr>
      <w:tr w:rsidR="00A375B5" w14:paraId="1A3919AA" w14:textId="77777777" w:rsidTr="008E01E1">
        <w:trPr>
          <w:trHeight w:val="65"/>
        </w:trPr>
        <w:tc>
          <w:tcPr>
            <w:cnfStyle w:val="001000000000" w:firstRow="0" w:lastRow="0" w:firstColumn="1" w:lastColumn="0" w:oddVBand="0" w:evenVBand="0" w:oddHBand="0" w:evenHBand="0" w:firstRowFirstColumn="0" w:firstRowLastColumn="0" w:lastRowFirstColumn="0" w:lastRowLastColumn="0"/>
            <w:tcW w:w="2263" w:type="dxa"/>
            <w:vMerge/>
          </w:tcPr>
          <w:p w14:paraId="6FD70321" w14:textId="77777777" w:rsidR="00A375B5" w:rsidRPr="00CD1B74" w:rsidRDefault="00A375B5" w:rsidP="00A375B5">
            <w:pPr>
              <w:rPr>
                <w:b w:val="0"/>
                <w:bCs w:val="0"/>
              </w:rPr>
            </w:pPr>
          </w:p>
        </w:tc>
        <w:tc>
          <w:tcPr>
            <w:tcW w:w="6804" w:type="dxa"/>
          </w:tcPr>
          <w:p w14:paraId="269FF124" w14:textId="7ABAACD8" w:rsidR="00A375B5" w:rsidRPr="00BA632C" w:rsidRDefault="00A375B5"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Formation théorique et pratique</w:t>
            </w:r>
            <w:r w:rsidR="00130352">
              <w:rPr>
                <w:rFonts w:cs="Calibri"/>
              </w:rPr>
              <w:t>.</w:t>
            </w:r>
          </w:p>
        </w:tc>
        <w:tc>
          <w:tcPr>
            <w:tcW w:w="3119" w:type="dxa"/>
          </w:tcPr>
          <w:p w14:paraId="7B7417FF" w14:textId="38936AA9" w:rsidR="00A375B5" w:rsidRPr="001613A4" w:rsidRDefault="00C81C9D" w:rsidP="00A375B5">
            <w:pPr>
              <w:cnfStyle w:val="000000000000" w:firstRow="0" w:lastRow="0" w:firstColumn="0" w:lastColumn="0" w:oddVBand="0" w:evenVBand="0" w:oddHBand="0" w:evenHBand="0" w:firstRowFirstColumn="0" w:firstRowLastColumn="0" w:lastRowFirstColumn="0" w:lastRowLastColumn="0"/>
              <w:rPr>
                <w:bCs/>
                <w:i/>
                <w:iCs/>
              </w:rPr>
            </w:pPr>
            <w:r>
              <w:rPr>
                <w:bCs/>
              </w:rPr>
              <w:t>Norme</w:t>
            </w:r>
            <w:r w:rsidRPr="00461E8D">
              <w:rPr>
                <w:bCs/>
              </w:rPr>
              <w:t xml:space="preserve"> </w:t>
            </w:r>
            <w:r w:rsidRPr="001613A4">
              <w:rPr>
                <w:bCs/>
                <w:i/>
                <w:iCs/>
              </w:rPr>
              <w:t>CAN/CSA</w:t>
            </w:r>
            <w:r w:rsidR="00D6712B">
              <w:rPr>
                <w:bCs/>
                <w:i/>
                <w:iCs/>
              </w:rPr>
              <w:t> </w:t>
            </w:r>
            <w:r w:rsidRPr="001613A4">
              <w:rPr>
                <w:bCs/>
                <w:i/>
                <w:iCs/>
              </w:rPr>
              <w:t>B354.8 :</w:t>
            </w:r>
            <w:r w:rsidR="00D6712B">
              <w:rPr>
                <w:bCs/>
                <w:i/>
                <w:iCs/>
              </w:rPr>
              <w:t xml:space="preserve"> </w:t>
            </w:r>
            <w:r w:rsidRPr="001613A4">
              <w:rPr>
                <w:bCs/>
                <w:i/>
                <w:iCs/>
              </w:rPr>
              <w:t xml:space="preserve">17 : </w:t>
            </w:r>
            <w:r w:rsidR="00A375B5" w:rsidRPr="001613A4">
              <w:rPr>
                <w:bCs/>
                <w:i/>
                <w:iCs/>
              </w:rPr>
              <w:t xml:space="preserve">Plateformes mobiles de personnel : Formation des opérateurs </w:t>
            </w:r>
          </w:p>
          <w:p w14:paraId="7F958989" w14:textId="77777777" w:rsidR="00A24F55" w:rsidRDefault="00A24F55" w:rsidP="00A375B5">
            <w:pPr>
              <w:cnfStyle w:val="000000000000" w:firstRow="0" w:lastRow="0" w:firstColumn="0" w:lastColumn="0" w:oddVBand="0" w:evenVBand="0" w:oddHBand="0" w:evenHBand="0" w:firstRowFirstColumn="0" w:firstRowLastColumn="0" w:lastRowFirstColumn="0" w:lastRowLastColumn="0"/>
              <w:rPr>
                <w:bCs/>
              </w:rPr>
            </w:pPr>
          </w:p>
          <w:p w14:paraId="44F6284B" w14:textId="77777777" w:rsidR="00742309" w:rsidRDefault="00742309" w:rsidP="00A375B5">
            <w:pPr>
              <w:cnfStyle w:val="000000000000" w:firstRow="0" w:lastRow="0" w:firstColumn="0" w:lastColumn="0" w:oddVBand="0" w:evenVBand="0" w:oddHBand="0" w:evenHBand="0" w:firstRowFirstColumn="0" w:firstRowLastColumn="0" w:lastRowFirstColumn="0" w:lastRowLastColumn="0"/>
              <w:rPr>
                <w:bCs/>
              </w:rPr>
            </w:pPr>
          </w:p>
          <w:p w14:paraId="60F2B822" w14:textId="78934620" w:rsidR="008E01E1" w:rsidRPr="00461E8D" w:rsidRDefault="008E01E1" w:rsidP="00A375B5">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37BAF440" w14:textId="77777777" w:rsidR="00A375B5" w:rsidRPr="000D5B2C" w:rsidRDefault="00A375B5" w:rsidP="00A375B5">
            <w:pPr>
              <w:cnfStyle w:val="000000000000" w:firstRow="0" w:lastRow="0" w:firstColumn="0" w:lastColumn="0" w:oddVBand="0" w:evenVBand="0" w:oddHBand="0" w:evenHBand="0" w:firstRowFirstColumn="0" w:firstRowLastColumn="0" w:lastRowFirstColumn="0" w:lastRowLastColumn="0"/>
              <w:rPr>
                <w:b/>
              </w:rPr>
            </w:pPr>
          </w:p>
        </w:tc>
      </w:tr>
      <w:tr w:rsidR="008E01E1" w14:paraId="42230941" w14:textId="77777777" w:rsidTr="008E01E1">
        <w:trPr>
          <w:trHeight w:val="65"/>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BE5F1" w:themeFill="accent1" w:themeFillTint="33"/>
          </w:tcPr>
          <w:p w14:paraId="77F24CCB" w14:textId="1ECE8E0F" w:rsidR="00C35DFE" w:rsidRPr="00CD1B74" w:rsidRDefault="00C35DFE" w:rsidP="00A375B5">
            <w:pPr>
              <w:rPr>
                <w:b w:val="0"/>
                <w:bCs w:val="0"/>
              </w:rPr>
            </w:pPr>
            <w:r w:rsidRPr="00A375B5">
              <w:lastRenderedPageBreak/>
              <w:t>Échafaudage</w:t>
            </w:r>
          </w:p>
        </w:tc>
        <w:tc>
          <w:tcPr>
            <w:tcW w:w="6804" w:type="dxa"/>
            <w:shd w:val="clear" w:color="auto" w:fill="DBE5F1" w:themeFill="accent1" w:themeFillTint="33"/>
          </w:tcPr>
          <w:p w14:paraId="2578F9B7" w14:textId="786E7564" w:rsidR="00C35DFE" w:rsidRDefault="00C35DFE"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Réparation et changement de pièces</w:t>
            </w:r>
            <w:r w:rsidR="00130352">
              <w:rPr>
                <w:rFonts w:cs="Calibri"/>
              </w:rPr>
              <w:t>.</w:t>
            </w:r>
          </w:p>
        </w:tc>
        <w:tc>
          <w:tcPr>
            <w:tcW w:w="3119" w:type="dxa"/>
            <w:shd w:val="clear" w:color="auto" w:fill="DBE5F1" w:themeFill="accent1" w:themeFillTint="33"/>
          </w:tcPr>
          <w:p w14:paraId="474DD0B4" w14:textId="589FD922" w:rsidR="00C35DFE" w:rsidRDefault="00C35DFE" w:rsidP="00E72E41">
            <w:pPr>
              <w:cnfStyle w:val="000000000000" w:firstRow="0" w:lastRow="0" w:firstColumn="0" w:lastColumn="0" w:oddVBand="0" w:evenVBand="0" w:oddHBand="0" w:evenHBand="0" w:firstRowFirstColumn="0" w:firstRowLastColumn="0" w:lastRowFirstColumn="0" w:lastRowLastColumn="0"/>
              <w:rPr>
                <w:bCs/>
              </w:rPr>
            </w:pPr>
            <w:r>
              <w:rPr>
                <w:bCs/>
              </w:rPr>
              <w:t xml:space="preserve">RSST - art. </w:t>
            </w:r>
            <w:r w:rsidRPr="00E72E41">
              <w:rPr>
                <w:bCs/>
              </w:rPr>
              <w:t>33</w:t>
            </w:r>
          </w:p>
          <w:p w14:paraId="2D109F99" w14:textId="7CA5A3F0" w:rsidR="00C35DFE" w:rsidRDefault="00C35DFE" w:rsidP="00E72E41">
            <w:pPr>
              <w:cnfStyle w:val="000000000000" w:firstRow="0" w:lastRow="0" w:firstColumn="0" w:lastColumn="0" w:oddVBand="0" w:evenVBand="0" w:oddHBand="0" w:evenHBand="0" w:firstRowFirstColumn="0" w:firstRowLastColumn="0" w:lastRowFirstColumn="0" w:lastRowLastColumn="0"/>
              <w:rPr>
                <w:bCs/>
              </w:rPr>
            </w:pPr>
            <w:r>
              <w:rPr>
                <w:bCs/>
              </w:rPr>
              <w:t>CSTC – art. 3.9.12</w:t>
            </w:r>
          </w:p>
        </w:tc>
        <w:tc>
          <w:tcPr>
            <w:tcW w:w="1134" w:type="dxa"/>
            <w:vMerge w:val="restart"/>
            <w:shd w:val="clear" w:color="auto" w:fill="DBE5F1" w:themeFill="accent1" w:themeFillTint="33"/>
          </w:tcPr>
          <w:p w14:paraId="0CAC1EB7" w14:textId="55E2D151" w:rsidR="00C35DFE" w:rsidRPr="000D5B2C" w:rsidRDefault="00C35DFE" w:rsidP="00A375B5">
            <w:pPr>
              <w:cnfStyle w:val="000000000000" w:firstRow="0" w:lastRow="0" w:firstColumn="0" w:lastColumn="0" w:oddVBand="0" w:evenVBand="0" w:oddHBand="0" w:evenHBand="0" w:firstRowFirstColumn="0" w:firstRowLastColumn="0" w:lastRowFirstColumn="0" w:lastRowLastColumn="0"/>
              <w:rPr>
                <w:b/>
              </w:rPr>
            </w:pPr>
            <w:r>
              <w:rPr>
                <w:b/>
              </w:rPr>
              <w:t>Modéré</w:t>
            </w:r>
          </w:p>
        </w:tc>
      </w:tr>
      <w:tr w:rsidR="008E01E1" w14:paraId="28B475BE" w14:textId="77777777" w:rsidTr="008E01E1">
        <w:trPr>
          <w:trHeight w:val="65"/>
        </w:trPr>
        <w:tc>
          <w:tcPr>
            <w:cnfStyle w:val="001000000000" w:firstRow="0" w:lastRow="0" w:firstColumn="1" w:lastColumn="0" w:oddVBand="0" w:evenVBand="0" w:oddHBand="0" w:evenHBand="0" w:firstRowFirstColumn="0" w:firstRowLastColumn="0" w:lastRowFirstColumn="0" w:lastRowLastColumn="0"/>
            <w:tcW w:w="2263" w:type="dxa"/>
            <w:vMerge/>
          </w:tcPr>
          <w:p w14:paraId="57CE8E24" w14:textId="77777777" w:rsidR="00C35DFE" w:rsidRPr="00A375B5" w:rsidRDefault="00C35DFE" w:rsidP="00A375B5"/>
        </w:tc>
        <w:tc>
          <w:tcPr>
            <w:tcW w:w="6804" w:type="dxa"/>
            <w:shd w:val="clear" w:color="auto" w:fill="DBE5F1" w:themeFill="accent1" w:themeFillTint="33"/>
          </w:tcPr>
          <w:p w14:paraId="2A2FDE5C" w14:textId="5BCD7F85" w:rsidR="00C35DFE" w:rsidRDefault="00C35DFE"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Selon les situations présentées dans le programme</w:t>
            </w:r>
            <w:r w:rsidR="001613A4">
              <w:rPr>
                <w:rFonts w:cs="Calibri"/>
              </w:rPr>
              <w:t>-</w:t>
            </w:r>
            <w:r>
              <w:rPr>
                <w:rFonts w:cs="Calibri"/>
              </w:rPr>
              <w:t>cadre, installation de l’échafaudage par une compagnie spécialisé</w:t>
            </w:r>
            <w:r w:rsidR="00810CF6">
              <w:rPr>
                <w:rFonts w:cs="Calibri"/>
              </w:rPr>
              <w:t>e</w:t>
            </w:r>
            <w:r>
              <w:rPr>
                <w:rFonts w:cs="Calibri"/>
              </w:rPr>
              <w:t xml:space="preserve"> ou par une personne formée et </w:t>
            </w:r>
            <w:r w:rsidR="00810CF6">
              <w:rPr>
                <w:rFonts w:cs="Calibri"/>
              </w:rPr>
              <w:t>habileté</w:t>
            </w:r>
            <w:r>
              <w:rPr>
                <w:rFonts w:cs="Calibri"/>
              </w:rPr>
              <w:t>.</w:t>
            </w:r>
          </w:p>
        </w:tc>
        <w:tc>
          <w:tcPr>
            <w:tcW w:w="3119" w:type="dxa"/>
            <w:shd w:val="clear" w:color="auto" w:fill="DBE5F1" w:themeFill="accent1" w:themeFillTint="33"/>
          </w:tcPr>
          <w:p w14:paraId="542CEA3C" w14:textId="0744CA98" w:rsidR="00C35DFE" w:rsidRDefault="00C35DFE" w:rsidP="00E72E41">
            <w:pPr>
              <w:cnfStyle w:val="000000000000" w:firstRow="0" w:lastRow="0" w:firstColumn="0" w:lastColumn="0" w:oddVBand="0" w:evenVBand="0" w:oddHBand="0" w:evenHBand="0" w:firstRowFirstColumn="0" w:firstRowLastColumn="0" w:lastRowFirstColumn="0" w:lastRowLastColumn="0"/>
              <w:rPr>
                <w:bCs/>
              </w:rPr>
            </w:pPr>
            <w:r>
              <w:rPr>
                <w:bCs/>
              </w:rPr>
              <w:t>LSST</w:t>
            </w:r>
            <w:r w:rsidR="00D6712B">
              <w:rPr>
                <w:bCs/>
              </w:rPr>
              <w:t> </w:t>
            </w:r>
            <w:r>
              <w:rPr>
                <w:bCs/>
              </w:rPr>
              <w:t>– 51.9</w:t>
            </w:r>
          </w:p>
          <w:p w14:paraId="09723CC0" w14:textId="1C2F0DB0" w:rsidR="00C35DFE" w:rsidRDefault="00C35DFE" w:rsidP="00E72E41">
            <w:pPr>
              <w:cnfStyle w:val="000000000000" w:firstRow="0" w:lastRow="0" w:firstColumn="0" w:lastColumn="0" w:oddVBand="0" w:evenVBand="0" w:oddHBand="0" w:evenHBand="0" w:firstRowFirstColumn="0" w:firstRowLastColumn="0" w:lastRowFirstColumn="0" w:lastRowLastColumn="0"/>
              <w:rPr>
                <w:bCs/>
              </w:rPr>
            </w:pPr>
            <w:r>
              <w:rPr>
                <w:bCs/>
              </w:rPr>
              <w:t>CSTC – art. 3.9.12</w:t>
            </w:r>
          </w:p>
        </w:tc>
        <w:tc>
          <w:tcPr>
            <w:tcW w:w="1134" w:type="dxa"/>
            <w:vMerge/>
          </w:tcPr>
          <w:p w14:paraId="7E91569B" w14:textId="77777777" w:rsidR="00C35DFE" w:rsidRPr="000D5B2C" w:rsidRDefault="00C35DFE" w:rsidP="00A375B5">
            <w:pPr>
              <w:cnfStyle w:val="000000000000" w:firstRow="0" w:lastRow="0" w:firstColumn="0" w:lastColumn="0" w:oddVBand="0" w:evenVBand="0" w:oddHBand="0" w:evenHBand="0" w:firstRowFirstColumn="0" w:firstRowLastColumn="0" w:lastRowFirstColumn="0" w:lastRowLastColumn="0"/>
              <w:rPr>
                <w:b/>
              </w:rPr>
            </w:pPr>
          </w:p>
        </w:tc>
      </w:tr>
      <w:tr w:rsidR="00454535" w14:paraId="18CC7013"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tcPr>
          <w:p w14:paraId="2D033980" w14:textId="5CE6CBB4" w:rsidR="00454535" w:rsidRPr="00A375B5" w:rsidRDefault="0046489F" w:rsidP="00A375B5">
            <w:r>
              <w:t>Échelles et escabeaux</w:t>
            </w:r>
          </w:p>
        </w:tc>
        <w:tc>
          <w:tcPr>
            <w:tcW w:w="6804" w:type="dxa"/>
          </w:tcPr>
          <w:p w14:paraId="18F404F6" w14:textId="0AC466A0" w:rsidR="00454535" w:rsidRDefault="0046489F"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Formation (recommandé</w:t>
            </w:r>
            <w:r w:rsidR="00810CF6">
              <w:rPr>
                <w:rFonts w:cs="Calibri"/>
              </w:rPr>
              <w:t>e</w:t>
            </w:r>
            <w:r>
              <w:rPr>
                <w:rFonts w:cs="Calibri"/>
              </w:rPr>
              <w:t>)</w:t>
            </w:r>
            <w:r w:rsidR="00D6712B">
              <w:rPr>
                <w:rFonts w:cs="Calibri"/>
              </w:rPr>
              <w:t> </w:t>
            </w:r>
            <w:r w:rsidR="00130352">
              <w:rPr>
                <w:rFonts w:cs="Calibri"/>
              </w:rPr>
              <w:t>;</w:t>
            </w:r>
          </w:p>
          <w:p w14:paraId="6FC1B518" w14:textId="6EAA7193" w:rsidR="00286B6B" w:rsidRDefault="00286B6B"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Grade</w:t>
            </w:r>
            <w:r w:rsidR="00D6712B">
              <w:rPr>
                <w:rFonts w:cs="Calibri"/>
              </w:rPr>
              <w:t> </w:t>
            </w:r>
            <w:r>
              <w:rPr>
                <w:rFonts w:cs="Calibri"/>
              </w:rPr>
              <w:t>1 obligatoire</w:t>
            </w:r>
            <w:r w:rsidR="00130352">
              <w:rPr>
                <w:rFonts w:cs="Calibri"/>
              </w:rPr>
              <w:t>.</w:t>
            </w:r>
          </w:p>
        </w:tc>
        <w:tc>
          <w:tcPr>
            <w:tcW w:w="3119" w:type="dxa"/>
          </w:tcPr>
          <w:p w14:paraId="58A40CB2" w14:textId="3232CF8A" w:rsidR="0046489F" w:rsidRDefault="0046489F" w:rsidP="0046489F">
            <w:pPr>
              <w:cnfStyle w:val="000000000000" w:firstRow="0" w:lastRow="0" w:firstColumn="0" w:lastColumn="0" w:oddVBand="0" w:evenVBand="0" w:oddHBand="0" w:evenHBand="0" w:firstRowFirstColumn="0" w:firstRowLastColumn="0" w:lastRowFirstColumn="0" w:lastRowLastColumn="0"/>
              <w:rPr>
                <w:bCs/>
              </w:rPr>
            </w:pPr>
            <w:r>
              <w:rPr>
                <w:bCs/>
              </w:rPr>
              <w:t>LSST</w:t>
            </w:r>
            <w:r w:rsidR="00D6712B">
              <w:rPr>
                <w:bCs/>
              </w:rPr>
              <w:t> </w:t>
            </w:r>
            <w:r>
              <w:rPr>
                <w:bCs/>
              </w:rPr>
              <w:t>– 51.9</w:t>
            </w:r>
          </w:p>
          <w:p w14:paraId="3D3974FB" w14:textId="6A1FCB31" w:rsidR="00810CF6" w:rsidRDefault="00810CF6" w:rsidP="0046489F">
            <w:pPr>
              <w:cnfStyle w:val="000000000000" w:firstRow="0" w:lastRow="0" w:firstColumn="0" w:lastColumn="0" w:oddVBand="0" w:evenVBand="0" w:oddHBand="0" w:evenHBand="0" w:firstRowFirstColumn="0" w:firstRowLastColumn="0" w:lastRowFirstColumn="0" w:lastRowLastColumn="0"/>
              <w:rPr>
                <w:bCs/>
              </w:rPr>
            </w:pPr>
            <w:r>
              <w:rPr>
                <w:bCs/>
              </w:rPr>
              <w:t>RSST – art.25</w:t>
            </w:r>
          </w:p>
          <w:p w14:paraId="754D5280" w14:textId="77777777" w:rsidR="00454535" w:rsidRDefault="00454535" w:rsidP="00E72E41">
            <w:pPr>
              <w:cnfStyle w:val="000000000000" w:firstRow="0" w:lastRow="0" w:firstColumn="0" w:lastColumn="0" w:oddVBand="0" w:evenVBand="0" w:oddHBand="0" w:evenHBand="0" w:firstRowFirstColumn="0" w:firstRowLastColumn="0" w:lastRowFirstColumn="0" w:lastRowLastColumn="0"/>
              <w:rPr>
                <w:bCs/>
              </w:rPr>
            </w:pPr>
          </w:p>
        </w:tc>
        <w:tc>
          <w:tcPr>
            <w:tcW w:w="1134" w:type="dxa"/>
          </w:tcPr>
          <w:p w14:paraId="76189848" w14:textId="25114347" w:rsidR="00454535" w:rsidRDefault="00C35DFE" w:rsidP="00A375B5">
            <w:pPr>
              <w:cnfStyle w:val="000000000000" w:firstRow="0" w:lastRow="0" w:firstColumn="0" w:lastColumn="0" w:oddVBand="0" w:evenVBand="0" w:oddHBand="0" w:evenHBand="0" w:firstRowFirstColumn="0" w:firstRowLastColumn="0" w:lastRowFirstColumn="0" w:lastRowLastColumn="0"/>
              <w:rPr>
                <w:b/>
              </w:rPr>
            </w:pPr>
            <w:r>
              <w:rPr>
                <w:b/>
              </w:rPr>
              <w:t>Élevé</w:t>
            </w:r>
          </w:p>
          <w:p w14:paraId="447612D7" w14:textId="77777777" w:rsidR="00BF2870" w:rsidRDefault="00BF2870" w:rsidP="00A375B5">
            <w:pPr>
              <w:cnfStyle w:val="000000000000" w:firstRow="0" w:lastRow="0" w:firstColumn="0" w:lastColumn="0" w:oddVBand="0" w:evenVBand="0" w:oddHBand="0" w:evenHBand="0" w:firstRowFirstColumn="0" w:firstRowLastColumn="0" w:lastRowFirstColumn="0" w:lastRowLastColumn="0"/>
              <w:rPr>
                <w:b/>
              </w:rPr>
            </w:pPr>
          </w:p>
          <w:p w14:paraId="3262F136" w14:textId="289703B6" w:rsidR="00BF2870" w:rsidRPr="000D5B2C" w:rsidRDefault="00BF2870" w:rsidP="00A375B5">
            <w:pPr>
              <w:cnfStyle w:val="000000000000" w:firstRow="0" w:lastRow="0" w:firstColumn="0" w:lastColumn="0" w:oddVBand="0" w:evenVBand="0" w:oddHBand="0" w:evenHBand="0" w:firstRowFirstColumn="0" w:firstRowLastColumn="0" w:lastRowFirstColumn="0" w:lastRowLastColumn="0"/>
              <w:rPr>
                <w:b/>
              </w:rPr>
            </w:pPr>
          </w:p>
        </w:tc>
      </w:tr>
      <w:tr w:rsidR="008E01E1" w14:paraId="728D0018"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BE5F1" w:themeFill="accent1" w:themeFillTint="33"/>
          </w:tcPr>
          <w:p w14:paraId="1C5DB621" w14:textId="6CA553B5" w:rsidR="00C35DFE" w:rsidRDefault="00C35DFE" w:rsidP="00A375B5">
            <w:r w:rsidRPr="00647404">
              <w:t>Garde-corps autoportant ou fixe</w:t>
            </w:r>
          </w:p>
        </w:tc>
        <w:tc>
          <w:tcPr>
            <w:tcW w:w="6804" w:type="dxa"/>
            <w:shd w:val="clear" w:color="auto" w:fill="DBE5F1" w:themeFill="accent1" w:themeFillTint="33"/>
          </w:tcPr>
          <w:p w14:paraId="5220CD81" w14:textId="195B8A24" w:rsidR="00C35DFE" w:rsidRDefault="00C35DFE" w:rsidP="00A375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Installation par une compagnie spécialisée.</w:t>
            </w:r>
          </w:p>
        </w:tc>
        <w:tc>
          <w:tcPr>
            <w:tcW w:w="3119" w:type="dxa"/>
            <w:vMerge w:val="restart"/>
            <w:shd w:val="clear" w:color="auto" w:fill="DBE5F1" w:themeFill="accent1" w:themeFillTint="33"/>
          </w:tcPr>
          <w:p w14:paraId="4F78AC92" w14:textId="6C9B02AA"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r>
              <w:rPr>
                <w:bCs/>
              </w:rPr>
              <w:t>RSST</w:t>
            </w:r>
            <w:r w:rsidR="00D6712B">
              <w:rPr>
                <w:bCs/>
              </w:rPr>
              <w:t> </w:t>
            </w:r>
            <w:r>
              <w:rPr>
                <w:bCs/>
              </w:rPr>
              <w:t>art.13</w:t>
            </w:r>
          </w:p>
        </w:tc>
        <w:tc>
          <w:tcPr>
            <w:tcW w:w="1134" w:type="dxa"/>
            <w:vMerge w:val="restart"/>
            <w:shd w:val="clear" w:color="auto" w:fill="DBE5F1" w:themeFill="accent1" w:themeFillTint="33"/>
          </w:tcPr>
          <w:p w14:paraId="63814DA8" w14:textId="2E6A4808" w:rsidR="00C35DFE" w:rsidRPr="000D5B2C" w:rsidRDefault="00C35DFE" w:rsidP="00A375B5">
            <w:pPr>
              <w:cnfStyle w:val="000000000000" w:firstRow="0" w:lastRow="0" w:firstColumn="0" w:lastColumn="0" w:oddVBand="0" w:evenVBand="0" w:oddHBand="0" w:evenHBand="0" w:firstRowFirstColumn="0" w:firstRowLastColumn="0" w:lastRowFirstColumn="0" w:lastRowLastColumn="0"/>
              <w:rPr>
                <w:b/>
              </w:rPr>
            </w:pPr>
            <w:r>
              <w:rPr>
                <w:b/>
              </w:rPr>
              <w:t>Faible</w:t>
            </w:r>
          </w:p>
        </w:tc>
      </w:tr>
      <w:tr w:rsidR="008E01E1" w14:paraId="08A87303"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108A02B6" w14:textId="77777777" w:rsidR="00C35DFE" w:rsidRPr="00647404" w:rsidRDefault="00C35DFE" w:rsidP="00243704"/>
        </w:tc>
        <w:tc>
          <w:tcPr>
            <w:tcW w:w="6804" w:type="dxa"/>
            <w:shd w:val="clear" w:color="auto" w:fill="DBE5F1" w:themeFill="accent1" w:themeFillTint="33"/>
          </w:tcPr>
          <w:p w14:paraId="1996A9C8" w14:textId="476AA548"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selon les directives du fabricant afin de s’assurer que la résistance requise est respectée.</w:t>
            </w:r>
          </w:p>
        </w:tc>
        <w:tc>
          <w:tcPr>
            <w:tcW w:w="3119" w:type="dxa"/>
            <w:vMerge/>
          </w:tcPr>
          <w:p w14:paraId="43FC10D5" w14:textId="52E6C984"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381E978B"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r w:rsidR="00C35DFE" w14:paraId="66762135"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6E90DD14" w14:textId="5EE7565A" w:rsidR="00C35DFE" w:rsidRPr="00647404" w:rsidRDefault="00C35DFE" w:rsidP="00243704">
            <w:r w:rsidRPr="006E1777">
              <w:t>Ligne d’avertissement permanente</w:t>
            </w:r>
          </w:p>
        </w:tc>
        <w:tc>
          <w:tcPr>
            <w:tcW w:w="6804" w:type="dxa"/>
          </w:tcPr>
          <w:p w14:paraId="467E40C0" w14:textId="2BA1C126"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Installation par une compagnie spécialisée</w:t>
            </w:r>
            <w:r w:rsidR="00D6712B">
              <w:rPr>
                <w:rFonts w:cs="Calibri"/>
              </w:rPr>
              <w:t> </w:t>
            </w:r>
            <w:r w:rsidR="00130352">
              <w:rPr>
                <w:rFonts w:cs="Calibri"/>
              </w:rPr>
              <w:t>;</w:t>
            </w:r>
          </w:p>
        </w:tc>
        <w:tc>
          <w:tcPr>
            <w:tcW w:w="3119" w:type="dxa"/>
            <w:vMerge w:val="restart"/>
          </w:tcPr>
          <w:p w14:paraId="7486E295" w14:textId="4CA36554"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r>
              <w:rPr>
                <w:bCs/>
              </w:rPr>
              <w:t>RSST</w:t>
            </w:r>
            <w:r w:rsidR="00D6712B">
              <w:rPr>
                <w:bCs/>
              </w:rPr>
              <w:t> </w:t>
            </w:r>
            <w:r>
              <w:rPr>
                <w:bCs/>
              </w:rPr>
              <w:t>354.1</w:t>
            </w:r>
          </w:p>
        </w:tc>
        <w:tc>
          <w:tcPr>
            <w:tcW w:w="1134" w:type="dxa"/>
            <w:vMerge w:val="restart"/>
          </w:tcPr>
          <w:p w14:paraId="75AF705A" w14:textId="1F44AB34"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r>
              <w:rPr>
                <w:b/>
              </w:rPr>
              <w:t>Faible</w:t>
            </w:r>
          </w:p>
        </w:tc>
      </w:tr>
      <w:tr w:rsidR="00C35DFE" w14:paraId="11A1E79D"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029026C8" w14:textId="77777777" w:rsidR="00C35DFE" w:rsidRPr="006E1777" w:rsidRDefault="00C35DFE" w:rsidP="00243704"/>
        </w:tc>
        <w:tc>
          <w:tcPr>
            <w:tcW w:w="6804" w:type="dxa"/>
          </w:tcPr>
          <w:p w14:paraId="6F2C6EBE" w14:textId="136EC328"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selon les directives du fabricant afin de s’assurer que la résistance requise est respectée.</w:t>
            </w:r>
          </w:p>
        </w:tc>
        <w:tc>
          <w:tcPr>
            <w:tcW w:w="3119" w:type="dxa"/>
            <w:vMerge/>
          </w:tcPr>
          <w:p w14:paraId="16A14FB0" w14:textId="77777777"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457AC344"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r w:rsidR="008E01E1" w14:paraId="1007FE3E"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BE5F1" w:themeFill="accent1" w:themeFillTint="33"/>
          </w:tcPr>
          <w:p w14:paraId="35A3B003" w14:textId="5C90C7E2" w:rsidR="00C35DFE" w:rsidRPr="006E1777" w:rsidRDefault="00C35DFE" w:rsidP="00243704">
            <w:r>
              <w:t>Système d’ancrage</w:t>
            </w:r>
          </w:p>
        </w:tc>
        <w:tc>
          <w:tcPr>
            <w:tcW w:w="6804" w:type="dxa"/>
            <w:shd w:val="clear" w:color="auto" w:fill="DBE5F1" w:themeFill="accent1" w:themeFillTint="33"/>
          </w:tcPr>
          <w:p w14:paraId="63A431D6" w14:textId="777B8B0B"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Installation par le fabricant ou fournisseur</w:t>
            </w:r>
            <w:r w:rsidR="00D6712B">
              <w:rPr>
                <w:rFonts w:cs="Calibri"/>
              </w:rPr>
              <w:t> </w:t>
            </w:r>
            <w:r w:rsidR="00130352">
              <w:rPr>
                <w:rFonts w:cs="Calibri"/>
              </w:rPr>
              <w:t>;</w:t>
            </w:r>
          </w:p>
        </w:tc>
        <w:tc>
          <w:tcPr>
            <w:tcW w:w="3119" w:type="dxa"/>
            <w:vMerge w:val="restart"/>
            <w:shd w:val="clear" w:color="auto" w:fill="DBE5F1" w:themeFill="accent1" w:themeFillTint="33"/>
          </w:tcPr>
          <w:p w14:paraId="56BFE8C9" w14:textId="2F97102D" w:rsidR="00C35DFE" w:rsidRDefault="00C35DFE" w:rsidP="00243704">
            <w:pPr>
              <w:cnfStyle w:val="000000000000" w:firstRow="0" w:lastRow="0" w:firstColumn="0" w:lastColumn="0" w:oddVBand="0" w:evenVBand="0" w:oddHBand="0" w:evenHBand="0" w:firstRowFirstColumn="0" w:firstRowLastColumn="0" w:lastRowFirstColumn="0" w:lastRowLastColumn="0"/>
            </w:pPr>
            <w:r>
              <w:t>-RSST art. 349</w:t>
            </w:r>
          </w:p>
          <w:p w14:paraId="19F9F4C0" w14:textId="5154645D" w:rsidR="00C35DFE" w:rsidRDefault="00C35DFE" w:rsidP="00243704">
            <w:pPr>
              <w:cnfStyle w:val="000000000000" w:firstRow="0" w:lastRow="0" w:firstColumn="0" w:lastColumn="0" w:oddVBand="0" w:evenVBand="0" w:oddHBand="0" w:evenHBand="0" w:firstRowFirstColumn="0" w:firstRowLastColumn="0" w:lastRowFirstColumn="0" w:lastRowLastColumn="0"/>
            </w:pPr>
            <w:r>
              <w:t>-CSTC art. 2.10.15</w:t>
            </w:r>
          </w:p>
          <w:p w14:paraId="1BC98120" w14:textId="73F7EEB5" w:rsidR="00C35DFE" w:rsidRDefault="00C35DFE" w:rsidP="00243704">
            <w:pPr>
              <w:cnfStyle w:val="000000000000" w:firstRow="0" w:lastRow="0" w:firstColumn="0" w:lastColumn="0" w:oddVBand="0" w:evenVBand="0" w:oddHBand="0" w:evenHBand="0" w:firstRowFirstColumn="0" w:firstRowLastColumn="0" w:lastRowFirstColumn="0" w:lastRowLastColumn="0"/>
            </w:pPr>
            <w:r>
              <w:t xml:space="preserve">-Norme </w:t>
            </w:r>
            <w:r w:rsidRPr="001613A4">
              <w:rPr>
                <w:i/>
                <w:iCs/>
              </w:rPr>
              <w:t>CSA</w:t>
            </w:r>
            <w:r w:rsidR="00D6712B">
              <w:rPr>
                <w:i/>
                <w:iCs/>
              </w:rPr>
              <w:t> </w:t>
            </w:r>
            <w:r w:rsidRPr="001613A4">
              <w:rPr>
                <w:i/>
                <w:iCs/>
              </w:rPr>
              <w:t>Z259.15 : Connecteurs d’ancrage</w:t>
            </w:r>
          </w:p>
          <w:p w14:paraId="597AED96" w14:textId="06135DF9" w:rsidR="00C35DFE" w:rsidRPr="001613A4" w:rsidRDefault="00C35DFE" w:rsidP="000A73EF">
            <w:pPr>
              <w:cnfStyle w:val="000000000000" w:firstRow="0" w:lastRow="0" w:firstColumn="0" w:lastColumn="0" w:oddVBand="0" w:evenVBand="0" w:oddHBand="0" w:evenHBand="0" w:firstRowFirstColumn="0" w:firstRowLastColumn="0" w:lastRowFirstColumn="0" w:lastRowLastColumn="0"/>
              <w:rPr>
                <w:i/>
                <w:iCs/>
              </w:rPr>
            </w:pPr>
            <w:r>
              <w:t>-Norme</w:t>
            </w:r>
            <w:r w:rsidR="00D6712B">
              <w:t> </w:t>
            </w:r>
            <w:r w:rsidRPr="001613A4">
              <w:rPr>
                <w:i/>
                <w:iCs/>
              </w:rPr>
              <w:t>Z259.13-04</w:t>
            </w:r>
            <w:r w:rsidR="00D6712B">
              <w:rPr>
                <w:i/>
                <w:iCs/>
              </w:rPr>
              <w:t> </w:t>
            </w:r>
            <w:r w:rsidRPr="001613A4">
              <w:rPr>
                <w:i/>
                <w:iCs/>
              </w:rPr>
              <w:t>:</w:t>
            </w:r>
            <w:r w:rsidR="00B0556C" w:rsidRPr="001613A4">
              <w:rPr>
                <w:i/>
                <w:iCs/>
              </w:rPr>
              <w:t xml:space="preserve"> </w:t>
            </w:r>
            <w:r w:rsidRPr="001613A4">
              <w:rPr>
                <w:i/>
                <w:iCs/>
              </w:rPr>
              <w:t>Systèmes de corde d’assurance</w:t>
            </w:r>
          </w:p>
          <w:p w14:paraId="62B9CA35" w14:textId="612746E9" w:rsidR="00B0556C" w:rsidRPr="001613A4" w:rsidRDefault="00C35DFE" w:rsidP="00243704">
            <w:pPr>
              <w:cnfStyle w:val="000000000000" w:firstRow="0" w:lastRow="0" w:firstColumn="0" w:lastColumn="0" w:oddVBand="0" w:evenVBand="0" w:oddHBand="0" w:evenHBand="0" w:firstRowFirstColumn="0" w:firstRowLastColumn="0" w:lastRowFirstColumn="0" w:lastRowLastColumn="0"/>
              <w:rPr>
                <w:i/>
                <w:iCs/>
              </w:rPr>
            </w:pPr>
            <w:proofErr w:type="gramStart"/>
            <w:r w:rsidRPr="001613A4">
              <w:rPr>
                <w:i/>
                <w:iCs/>
              </w:rPr>
              <w:t>horizontale</w:t>
            </w:r>
            <w:proofErr w:type="gramEnd"/>
            <w:r w:rsidRPr="001613A4">
              <w:rPr>
                <w:i/>
                <w:iCs/>
              </w:rPr>
              <w:t xml:space="preserve"> flexible </w:t>
            </w:r>
          </w:p>
          <w:p w14:paraId="2D18DB46" w14:textId="599226B2" w:rsidR="00C35DFE" w:rsidRPr="00C90815" w:rsidRDefault="00B0556C" w:rsidP="00243704">
            <w:pPr>
              <w:cnfStyle w:val="000000000000" w:firstRow="0" w:lastRow="0" w:firstColumn="0" w:lastColumn="0" w:oddVBand="0" w:evenVBand="0" w:oddHBand="0" w:evenHBand="0" w:firstRowFirstColumn="0" w:firstRowLastColumn="0" w:lastRowFirstColumn="0" w:lastRowLastColumn="0"/>
            </w:pPr>
            <w:r>
              <w:t>-</w:t>
            </w:r>
            <w:r w:rsidR="00C35DFE">
              <w:t>Norme</w:t>
            </w:r>
            <w:r w:rsidR="00D6712B">
              <w:t> </w:t>
            </w:r>
            <w:r w:rsidR="00C35DFE" w:rsidRPr="001613A4">
              <w:rPr>
                <w:i/>
                <w:iCs/>
              </w:rPr>
              <w:t>Z259.16-05</w:t>
            </w:r>
            <w:r w:rsidR="00D6712B">
              <w:rPr>
                <w:i/>
                <w:iCs/>
              </w:rPr>
              <w:t> </w:t>
            </w:r>
            <w:r w:rsidR="00C35DFE" w:rsidRPr="001613A4">
              <w:rPr>
                <w:i/>
                <w:iCs/>
              </w:rPr>
              <w:t>: Conception de systèmes actifs de protection contre les chutes</w:t>
            </w:r>
            <w:r w:rsidR="00D6712B">
              <w:rPr>
                <w:i/>
                <w:iCs/>
              </w:rPr>
              <w:t> </w:t>
            </w:r>
            <w:r w:rsidR="00C35DFE" w:rsidRPr="001613A4">
              <w:rPr>
                <w:i/>
                <w:iCs/>
              </w:rPr>
              <w:t>;</w:t>
            </w:r>
          </w:p>
        </w:tc>
        <w:tc>
          <w:tcPr>
            <w:tcW w:w="1134" w:type="dxa"/>
            <w:vMerge w:val="restart"/>
            <w:shd w:val="clear" w:color="auto" w:fill="DBE5F1" w:themeFill="accent1" w:themeFillTint="33"/>
          </w:tcPr>
          <w:p w14:paraId="2DA0E1ED" w14:textId="40DD5E9B"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r>
              <w:rPr>
                <w:b/>
              </w:rPr>
              <w:t>Élevé</w:t>
            </w:r>
          </w:p>
        </w:tc>
      </w:tr>
      <w:tr w:rsidR="00C35DFE" w14:paraId="3A988566"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35B172F9" w14:textId="77777777" w:rsidR="00C35DFE" w:rsidRDefault="00C35DFE" w:rsidP="00243704"/>
        </w:tc>
        <w:tc>
          <w:tcPr>
            <w:tcW w:w="6804" w:type="dxa"/>
            <w:shd w:val="clear" w:color="auto" w:fill="DBE5F1" w:themeFill="accent1" w:themeFillTint="33"/>
          </w:tcPr>
          <w:p w14:paraId="73949006" w14:textId="3E9E73A6"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à l’externe selon les directives du fabricant.</w:t>
            </w:r>
          </w:p>
        </w:tc>
        <w:tc>
          <w:tcPr>
            <w:tcW w:w="3119" w:type="dxa"/>
            <w:vMerge/>
          </w:tcPr>
          <w:p w14:paraId="256620A8" w14:textId="77777777"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59FF84DA"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r w:rsidR="00C35DFE" w14:paraId="64329E20"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F176592" w14:textId="717EC1D6" w:rsidR="00C35DFE" w:rsidRDefault="00C35DFE" w:rsidP="00243704">
            <w:r>
              <w:t>Liaison antichute</w:t>
            </w:r>
          </w:p>
        </w:tc>
        <w:tc>
          <w:tcPr>
            <w:tcW w:w="6804" w:type="dxa"/>
          </w:tcPr>
          <w:p w14:paraId="5FA059D2" w14:textId="56E364B0"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de l’équipement à l’interne avant l’utilisation par l’utilisateur</w:t>
            </w:r>
            <w:r w:rsidR="00D6712B">
              <w:rPr>
                <w:rFonts w:cs="Calibri"/>
              </w:rPr>
              <w:t> </w:t>
            </w:r>
            <w:r w:rsidR="00130352">
              <w:rPr>
                <w:rFonts w:cs="Calibri"/>
              </w:rPr>
              <w:t>;</w:t>
            </w:r>
          </w:p>
        </w:tc>
        <w:tc>
          <w:tcPr>
            <w:tcW w:w="3119" w:type="dxa"/>
            <w:vMerge w:val="restart"/>
          </w:tcPr>
          <w:p w14:paraId="7E25685D" w14:textId="55400A92"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r>
              <w:rPr>
                <w:bCs/>
              </w:rPr>
              <w:t>-RSST art. 348 et art. 349</w:t>
            </w:r>
          </w:p>
          <w:p w14:paraId="25A2A794" w14:textId="551858E3"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val="restart"/>
          </w:tcPr>
          <w:p w14:paraId="6C03ADE2" w14:textId="29DF9F11"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r>
              <w:rPr>
                <w:b/>
              </w:rPr>
              <w:t>Élevé</w:t>
            </w:r>
          </w:p>
        </w:tc>
      </w:tr>
      <w:tr w:rsidR="00C35DFE" w14:paraId="447D0EF0"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67D967FE" w14:textId="77777777" w:rsidR="00C35DFE" w:rsidRDefault="00C35DFE" w:rsidP="00243704"/>
        </w:tc>
        <w:tc>
          <w:tcPr>
            <w:tcW w:w="6804" w:type="dxa"/>
          </w:tcPr>
          <w:p w14:paraId="1A776D64" w14:textId="53567DF9"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à l’externe selon les directives du fabricant (minimalement 1x par an.</w:t>
            </w:r>
          </w:p>
        </w:tc>
        <w:tc>
          <w:tcPr>
            <w:tcW w:w="3119" w:type="dxa"/>
            <w:vMerge/>
          </w:tcPr>
          <w:p w14:paraId="72AC614D" w14:textId="77777777"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5A1DCE38"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r w:rsidR="008E01E1" w14:paraId="1DC1CCF2"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DBE5F1" w:themeFill="accent1" w:themeFillTint="33"/>
          </w:tcPr>
          <w:p w14:paraId="67B63125" w14:textId="6B811E41" w:rsidR="00C35DFE" w:rsidRDefault="00C35DFE" w:rsidP="00243704">
            <w:r>
              <w:t>Harnais</w:t>
            </w:r>
          </w:p>
        </w:tc>
        <w:tc>
          <w:tcPr>
            <w:tcW w:w="6804" w:type="dxa"/>
            <w:shd w:val="clear" w:color="auto" w:fill="DBE5F1" w:themeFill="accent1" w:themeFillTint="33"/>
          </w:tcPr>
          <w:p w14:paraId="53884636" w14:textId="6C9A8E99"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de l’équipement à l’interne avant l’utilisation par l’utilisateur</w:t>
            </w:r>
            <w:r w:rsidR="00D6712B">
              <w:rPr>
                <w:rFonts w:cs="Calibri"/>
              </w:rPr>
              <w:t> </w:t>
            </w:r>
            <w:r w:rsidR="00130352">
              <w:rPr>
                <w:rFonts w:cs="Calibri"/>
              </w:rPr>
              <w:t>;</w:t>
            </w:r>
          </w:p>
        </w:tc>
        <w:tc>
          <w:tcPr>
            <w:tcW w:w="3119" w:type="dxa"/>
            <w:vMerge w:val="restart"/>
            <w:shd w:val="clear" w:color="auto" w:fill="DBE5F1" w:themeFill="accent1" w:themeFillTint="33"/>
          </w:tcPr>
          <w:p w14:paraId="4D155E96" w14:textId="6468BF7E" w:rsidR="00C35DFE" w:rsidRDefault="00C35DFE" w:rsidP="00243704">
            <w:pPr>
              <w:cnfStyle w:val="000000000000" w:firstRow="0" w:lastRow="0" w:firstColumn="0" w:lastColumn="0" w:oddVBand="0" w:evenVBand="0" w:oddHBand="0" w:evenHBand="0" w:firstRowFirstColumn="0" w:firstRowLastColumn="0" w:lastRowFirstColumn="0" w:lastRowLastColumn="0"/>
            </w:pPr>
            <w:r>
              <w:t>Article</w:t>
            </w:r>
            <w:r w:rsidR="00D6712B">
              <w:t> </w:t>
            </w:r>
            <w:r>
              <w:t>264 RSST</w:t>
            </w:r>
          </w:p>
          <w:p w14:paraId="2DFA636E" w14:textId="2AF6CB83"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r w:rsidRPr="00C221F3">
              <w:t xml:space="preserve">Norme </w:t>
            </w:r>
            <w:r w:rsidRPr="001613A4">
              <w:rPr>
                <w:i/>
                <w:iCs/>
              </w:rPr>
              <w:t>CAN/CSA</w:t>
            </w:r>
            <w:r w:rsidR="00D6712B">
              <w:rPr>
                <w:i/>
                <w:iCs/>
              </w:rPr>
              <w:t> </w:t>
            </w:r>
            <w:r w:rsidRPr="001613A4">
              <w:rPr>
                <w:i/>
                <w:iCs/>
              </w:rPr>
              <w:t>Z259.10</w:t>
            </w:r>
            <w:r w:rsidRPr="001613A4">
              <w:rPr>
                <w:rFonts w:ascii="Arial" w:hAnsi="Arial" w:cs="Arial"/>
                <w:i/>
                <w:iCs/>
                <w:color w:val="333333"/>
                <w:shd w:val="clear" w:color="auto" w:fill="FFFFFF"/>
              </w:rPr>
              <w:t xml:space="preserve"> </w:t>
            </w:r>
            <w:r w:rsidRPr="001613A4">
              <w:rPr>
                <w:i/>
                <w:iCs/>
              </w:rPr>
              <w:t>Harnais de sécurité</w:t>
            </w:r>
          </w:p>
        </w:tc>
        <w:tc>
          <w:tcPr>
            <w:tcW w:w="1134" w:type="dxa"/>
            <w:vMerge w:val="restart"/>
            <w:shd w:val="clear" w:color="auto" w:fill="DBE5F1" w:themeFill="accent1" w:themeFillTint="33"/>
          </w:tcPr>
          <w:p w14:paraId="79C53651" w14:textId="78F9D72F"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r>
              <w:rPr>
                <w:b/>
              </w:rPr>
              <w:t>Élevé</w:t>
            </w:r>
          </w:p>
        </w:tc>
      </w:tr>
      <w:tr w:rsidR="00C35DFE" w14:paraId="58ACDD0B" w14:textId="77777777" w:rsidTr="008E01E1">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1B604164" w14:textId="77777777" w:rsidR="00C35DFE" w:rsidRDefault="00C35DFE" w:rsidP="00243704"/>
        </w:tc>
        <w:tc>
          <w:tcPr>
            <w:tcW w:w="6804" w:type="dxa"/>
            <w:shd w:val="clear" w:color="auto" w:fill="DBE5F1" w:themeFill="accent1" w:themeFillTint="33"/>
          </w:tcPr>
          <w:p w14:paraId="56B94D54" w14:textId="005D7B8C"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Inspection à l’externe selon les directives du fabricant (minimalement 1x par an</w:t>
            </w:r>
            <w:r w:rsidR="00783763">
              <w:rPr>
                <w:rFonts w:cs="Calibri"/>
              </w:rPr>
              <w:t>)</w:t>
            </w:r>
            <w:r w:rsidR="00D6712B">
              <w:rPr>
                <w:rFonts w:cs="Calibri"/>
              </w:rPr>
              <w:t> </w:t>
            </w:r>
            <w:r w:rsidR="00130352">
              <w:rPr>
                <w:rFonts w:cs="Calibri"/>
              </w:rPr>
              <w:t>;</w:t>
            </w:r>
          </w:p>
        </w:tc>
        <w:tc>
          <w:tcPr>
            <w:tcW w:w="3119" w:type="dxa"/>
            <w:vMerge/>
          </w:tcPr>
          <w:p w14:paraId="1DD86B9B" w14:textId="77777777"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p>
        </w:tc>
        <w:tc>
          <w:tcPr>
            <w:tcW w:w="1134" w:type="dxa"/>
            <w:vMerge/>
          </w:tcPr>
          <w:p w14:paraId="12A4D5DB"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r w:rsidR="00C35DFE" w14:paraId="761F4AC7" w14:textId="77777777" w:rsidTr="00810CF6">
        <w:trPr>
          <w:trHeight w:val="325"/>
        </w:trPr>
        <w:tc>
          <w:tcPr>
            <w:cnfStyle w:val="001000000000" w:firstRow="0" w:lastRow="0" w:firstColumn="1" w:lastColumn="0" w:oddVBand="0" w:evenVBand="0" w:oddHBand="0" w:evenHBand="0" w:firstRowFirstColumn="0" w:firstRowLastColumn="0" w:lastRowFirstColumn="0" w:lastRowLastColumn="0"/>
            <w:tcW w:w="2263" w:type="dxa"/>
            <w:vMerge/>
          </w:tcPr>
          <w:p w14:paraId="129EC166" w14:textId="77777777" w:rsidR="00C35DFE" w:rsidRDefault="00C35DFE" w:rsidP="00243704"/>
        </w:tc>
        <w:tc>
          <w:tcPr>
            <w:tcW w:w="6804" w:type="dxa"/>
            <w:shd w:val="clear" w:color="auto" w:fill="DBE5F1" w:themeFill="accent1" w:themeFillTint="33"/>
          </w:tcPr>
          <w:p w14:paraId="6F6E2B10" w14:textId="74A02000" w:rsidR="00C35DFE" w:rsidRDefault="00C35DFE" w:rsidP="002437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Pr>
                <w:rFonts w:cs="Calibri"/>
              </w:rPr>
              <w:t>Formation du travailleur.</w:t>
            </w:r>
          </w:p>
        </w:tc>
        <w:tc>
          <w:tcPr>
            <w:tcW w:w="3119" w:type="dxa"/>
            <w:shd w:val="clear" w:color="auto" w:fill="DBE5F1" w:themeFill="accent1" w:themeFillTint="33"/>
          </w:tcPr>
          <w:p w14:paraId="7076E9D0" w14:textId="2B355221" w:rsidR="00C35DFE" w:rsidRDefault="00C35DFE" w:rsidP="00243704">
            <w:pPr>
              <w:cnfStyle w:val="000000000000" w:firstRow="0" w:lastRow="0" w:firstColumn="0" w:lastColumn="0" w:oddVBand="0" w:evenVBand="0" w:oddHBand="0" w:evenHBand="0" w:firstRowFirstColumn="0" w:firstRowLastColumn="0" w:lastRowFirstColumn="0" w:lastRowLastColumn="0"/>
              <w:rPr>
                <w:bCs/>
              </w:rPr>
            </w:pPr>
            <w:r>
              <w:rPr>
                <w:bCs/>
              </w:rPr>
              <w:t>LSST</w:t>
            </w:r>
            <w:r w:rsidR="00D6712B">
              <w:rPr>
                <w:bCs/>
              </w:rPr>
              <w:t> </w:t>
            </w:r>
            <w:r>
              <w:rPr>
                <w:bCs/>
              </w:rPr>
              <w:t>art.51.9</w:t>
            </w:r>
          </w:p>
        </w:tc>
        <w:tc>
          <w:tcPr>
            <w:tcW w:w="1134" w:type="dxa"/>
            <w:vMerge/>
          </w:tcPr>
          <w:p w14:paraId="1CF4CB13" w14:textId="77777777" w:rsidR="00C35DFE" w:rsidRPr="000D5B2C" w:rsidRDefault="00C35DFE" w:rsidP="00243704">
            <w:pPr>
              <w:cnfStyle w:val="000000000000" w:firstRow="0" w:lastRow="0" w:firstColumn="0" w:lastColumn="0" w:oddVBand="0" w:evenVBand="0" w:oddHBand="0" w:evenHBand="0" w:firstRowFirstColumn="0" w:firstRowLastColumn="0" w:lastRowFirstColumn="0" w:lastRowLastColumn="0"/>
              <w:rPr>
                <w:b/>
              </w:rPr>
            </w:pPr>
          </w:p>
        </w:tc>
      </w:tr>
    </w:tbl>
    <w:p w14:paraId="7B857D50" w14:textId="526350AE" w:rsidR="00683C2A" w:rsidRPr="004C4927" w:rsidRDefault="00683C2A" w:rsidP="008E01E1">
      <w:pPr>
        <w:autoSpaceDE w:val="0"/>
        <w:autoSpaceDN w:val="0"/>
        <w:adjustRightInd w:val="0"/>
        <w:spacing w:after="0" w:line="240" w:lineRule="auto"/>
        <w:rPr>
          <w:rFonts w:cs="Calibri"/>
        </w:rPr>
      </w:pPr>
    </w:p>
    <w:sectPr w:rsidR="00683C2A" w:rsidRPr="004C4927" w:rsidSect="007A2A67">
      <w:headerReference w:type="default" r:id="rId8"/>
      <w:pgSz w:w="15840" w:h="12240" w:orient="landscape"/>
      <w:pgMar w:top="1588" w:right="1098"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92E3" w14:textId="77777777" w:rsidR="00984F0F" w:rsidRDefault="00984F0F" w:rsidP="007762A6">
      <w:pPr>
        <w:spacing w:after="0" w:line="240" w:lineRule="auto"/>
      </w:pPr>
      <w:r>
        <w:separator/>
      </w:r>
    </w:p>
  </w:endnote>
  <w:endnote w:type="continuationSeparator" w:id="0">
    <w:p w14:paraId="00F27A2D" w14:textId="77777777" w:rsidR="00984F0F" w:rsidRDefault="00984F0F" w:rsidP="0077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A0B4" w14:textId="77777777" w:rsidR="00984F0F" w:rsidRDefault="00984F0F" w:rsidP="007762A6">
      <w:pPr>
        <w:spacing w:after="0" w:line="240" w:lineRule="auto"/>
      </w:pPr>
      <w:r>
        <w:separator/>
      </w:r>
    </w:p>
  </w:footnote>
  <w:footnote w:type="continuationSeparator" w:id="0">
    <w:p w14:paraId="353C2F46" w14:textId="77777777" w:rsidR="00984F0F" w:rsidRDefault="00984F0F" w:rsidP="00776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D0B" w14:textId="683B6E6F" w:rsidR="001146B7" w:rsidRPr="00A80791" w:rsidRDefault="001146B7" w:rsidP="004962D7">
    <w:pPr>
      <w:spacing w:after="0"/>
      <w:jc w:val="center"/>
      <w:rPr>
        <w:b/>
        <w:color w:val="0F243E" w:themeColor="text2" w:themeShade="80"/>
        <w:sz w:val="36"/>
        <w:szCs w:val="28"/>
      </w:rPr>
    </w:pPr>
    <w:r w:rsidRPr="00A80791">
      <w:rPr>
        <w:b/>
        <w:color w:val="0F243E" w:themeColor="text2" w:themeShade="80"/>
        <w:sz w:val="36"/>
        <w:szCs w:val="28"/>
      </w:rPr>
      <w:t>Plan d’implantation du programme de travail en hauteur</w:t>
    </w:r>
  </w:p>
  <w:p w14:paraId="5167FF78" w14:textId="77777777" w:rsidR="001146B7" w:rsidRPr="005855E3" w:rsidRDefault="001146B7" w:rsidP="001146B7">
    <w:pPr>
      <w:spacing w:after="0"/>
      <w:jc w:val="center"/>
      <w:rPr>
        <w:b/>
        <w:sz w:val="28"/>
      </w:rPr>
    </w:pPr>
  </w:p>
  <w:p w14:paraId="71736DEB" w14:textId="77777777" w:rsidR="001146B7" w:rsidRDefault="001146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F2B"/>
    <w:multiLevelType w:val="hybridMultilevel"/>
    <w:tmpl w:val="9C72407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F649CF"/>
    <w:multiLevelType w:val="hybridMultilevel"/>
    <w:tmpl w:val="BA38AB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E3"/>
    <w:rsid w:val="000359F9"/>
    <w:rsid w:val="00065BD3"/>
    <w:rsid w:val="00065FA1"/>
    <w:rsid w:val="0009052F"/>
    <w:rsid w:val="000A73EF"/>
    <w:rsid w:val="000B4717"/>
    <w:rsid w:val="000D50F6"/>
    <w:rsid w:val="001126CE"/>
    <w:rsid w:val="001146B7"/>
    <w:rsid w:val="001249AD"/>
    <w:rsid w:val="00130352"/>
    <w:rsid w:val="00136E8E"/>
    <w:rsid w:val="00151382"/>
    <w:rsid w:val="001613A4"/>
    <w:rsid w:val="00195C7D"/>
    <w:rsid w:val="001A1387"/>
    <w:rsid w:val="001B13C0"/>
    <w:rsid w:val="001E3806"/>
    <w:rsid w:val="001E4824"/>
    <w:rsid w:val="001F01B9"/>
    <w:rsid w:val="001F07C1"/>
    <w:rsid w:val="001F599C"/>
    <w:rsid w:val="00224EF6"/>
    <w:rsid w:val="00231618"/>
    <w:rsid w:val="00243704"/>
    <w:rsid w:val="00286B6B"/>
    <w:rsid w:val="002D6D5D"/>
    <w:rsid w:val="002E1AC3"/>
    <w:rsid w:val="00301A2E"/>
    <w:rsid w:val="0030244E"/>
    <w:rsid w:val="00332D95"/>
    <w:rsid w:val="00352C34"/>
    <w:rsid w:val="003731C8"/>
    <w:rsid w:val="003958DE"/>
    <w:rsid w:val="003B5D1D"/>
    <w:rsid w:val="003D1444"/>
    <w:rsid w:val="004226D0"/>
    <w:rsid w:val="00427605"/>
    <w:rsid w:val="00454535"/>
    <w:rsid w:val="00461027"/>
    <w:rsid w:val="00461E8D"/>
    <w:rsid w:val="0046489F"/>
    <w:rsid w:val="00470D25"/>
    <w:rsid w:val="004962D7"/>
    <w:rsid w:val="004A3D47"/>
    <w:rsid w:val="004B0E51"/>
    <w:rsid w:val="004C4927"/>
    <w:rsid w:val="004F09CF"/>
    <w:rsid w:val="00506FB7"/>
    <w:rsid w:val="00523C2C"/>
    <w:rsid w:val="00547BCF"/>
    <w:rsid w:val="005855E3"/>
    <w:rsid w:val="005A2E2A"/>
    <w:rsid w:val="005A4ED6"/>
    <w:rsid w:val="005B0746"/>
    <w:rsid w:val="005D06B9"/>
    <w:rsid w:val="006000DC"/>
    <w:rsid w:val="00613A02"/>
    <w:rsid w:val="006221A7"/>
    <w:rsid w:val="00666E51"/>
    <w:rsid w:val="00667AE8"/>
    <w:rsid w:val="00677A9E"/>
    <w:rsid w:val="00681179"/>
    <w:rsid w:val="00683C2A"/>
    <w:rsid w:val="006B5B87"/>
    <w:rsid w:val="006D3760"/>
    <w:rsid w:val="006F7724"/>
    <w:rsid w:val="00733976"/>
    <w:rsid w:val="00742309"/>
    <w:rsid w:val="007762A6"/>
    <w:rsid w:val="00783763"/>
    <w:rsid w:val="007A2A67"/>
    <w:rsid w:val="007A2B39"/>
    <w:rsid w:val="007A7908"/>
    <w:rsid w:val="007B78BC"/>
    <w:rsid w:val="007D3B80"/>
    <w:rsid w:val="007D6B54"/>
    <w:rsid w:val="007E1F73"/>
    <w:rsid w:val="00810CF6"/>
    <w:rsid w:val="008268E8"/>
    <w:rsid w:val="0088186C"/>
    <w:rsid w:val="008972FE"/>
    <w:rsid w:val="008D3542"/>
    <w:rsid w:val="008E01E1"/>
    <w:rsid w:val="00921D1E"/>
    <w:rsid w:val="009323DE"/>
    <w:rsid w:val="009356D3"/>
    <w:rsid w:val="009825E9"/>
    <w:rsid w:val="00982ACA"/>
    <w:rsid w:val="00984F0F"/>
    <w:rsid w:val="00996374"/>
    <w:rsid w:val="009B1A07"/>
    <w:rsid w:val="009D1EB4"/>
    <w:rsid w:val="00A12415"/>
    <w:rsid w:val="00A179B9"/>
    <w:rsid w:val="00A24F55"/>
    <w:rsid w:val="00A375B5"/>
    <w:rsid w:val="00A60992"/>
    <w:rsid w:val="00A628C1"/>
    <w:rsid w:val="00A80791"/>
    <w:rsid w:val="00A84CB0"/>
    <w:rsid w:val="00A90D59"/>
    <w:rsid w:val="00A945F2"/>
    <w:rsid w:val="00AB5806"/>
    <w:rsid w:val="00AF6FDE"/>
    <w:rsid w:val="00B039C2"/>
    <w:rsid w:val="00B0556C"/>
    <w:rsid w:val="00B12276"/>
    <w:rsid w:val="00B262EA"/>
    <w:rsid w:val="00B77400"/>
    <w:rsid w:val="00BA632C"/>
    <w:rsid w:val="00BE2DA7"/>
    <w:rsid w:val="00BF2870"/>
    <w:rsid w:val="00C20809"/>
    <w:rsid w:val="00C221F3"/>
    <w:rsid w:val="00C32E74"/>
    <w:rsid w:val="00C35DFE"/>
    <w:rsid w:val="00C81C9D"/>
    <w:rsid w:val="00C90815"/>
    <w:rsid w:val="00CA69B6"/>
    <w:rsid w:val="00CD4A28"/>
    <w:rsid w:val="00CE3884"/>
    <w:rsid w:val="00CE3F49"/>
    <w:rsid w:val="00CF0051"/>
    <w:rsid w:val="00D00F7C"/>
    <w:rsid w:val="00D16C1C"/>
    <w:rsid w:val="00D21BB2"/>
    <w:rsid w:val="00D30CC2"/>
    <w:rsid w:val="00D6712B"/>
    <w:rsid w:val="00DC613D"/>
    <w:rsid w:val="00E35809"/>
    <w:rsid w:val="00E35BBD"/>
    <w:rsid w:val="00E670A7"/>
    <w:rsid w:val="00E72E41"/>
    <w:rsid w:val="00E845BD"/>
    <w:rsid w:val="00EA0E62"/>
    <w:rsid w:val="00EB0E27"/>
    <w:rsid w:val="00EC53A6"/>
    <w:rsid w:val="00ED1597"/>
    <w:rsid w:val="00EF7053"/>
    <w:rsid w:val="00F01724"/>
    <w:rsid w:val="00F12CBC"/>
    <w:rsid w:val="00F64EB6"/>
    <w:rsid w:val="00F74E5E"/>
    <w:rsid w:val="00F91B9A"/>
    <w:rsid w:val="00FB7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87BFD"/>
  <w15:docId w15:val="{D9E82E45-E2B1-4FF7-B74D-5C948AF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8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7AE8"/>
    <w:pPr>
      <w:ind w:left="720"/>
      <w:contextualSpacing/>
    </w:pPr>
  </w:style>
  <w:style w:type="paragraph" w:styleId="En-tte">
    <w:name w:val="header"/>
    <w:basedOn w:val="Normal"/>
    <w:link w:val="En-tteCar"/>
    <w:uiPriority w:val="99"/>
    <w:unhideWhenUsed/>
    <w:rsid w:val="007762A6"/>
    <w:pPr>
      <w:tabs>
        <w:tab w:val="center" w:pos="4320"/>
        <w:tab w:val="right" w:pos="8640"/>
      </w:tabs>
      <w:spacing w:after="0" w:line="240" w:lineRule="auto"/>
    </w:pPr>
  </w:style>
  <w:style w:type="character" w:customStyle="1" w:styleId="En-tteCar">
    <w:name w:val="En-tête Car"/>
    <w:basedOn w:val="Policepardfaut"/>
    <w:link w:val="En-tte"/>
    <w:uiPriority w:val="99"/>
    <w:rsid w:val="007762A6"/>
  </w:style>
  <w:style w:type="paragraph" w:styleId="Pieddepage">
    <w:name w:val="footer"/>
    <w:basedOn w:val="Normal"/>
    <w:link w:val="PieddepageCar"/>
    <w:uiPriority w:val="99"/>
    <w:unhideWhenUsed/>
    <w:rsid w:val="007762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62A6"/>
  </w:style>
  <w:style w:type="table" w:styleId="TableauGrille1Clair-Accentuation5">
    <w:name w:val="Grid Table 1 Light Accent 5"/>
    <w:basedOn w:val="TableauNormal"/>
    <w:uiPriority w:val="46"/>
    <w:rsid w:val="007423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286B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1270-06BF-4561-93BF-F651CD96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Lazzari</dc:creator>
  <cp:lastModifiedBy>Marie-Pierre Vezina</cp:lastModifiedBy>
  <cp:revision>2</cp:revision>
  <cp:lastPrinted>2016-03-24T17:58:00Z</cp:lastPrinted>
  <dcterms:created xsi:type="dcterms:W3CDTF">2021-09-15T19:07:00Z</dcterms:created>
  <dcterms:modified xsi:type="dcterms:W3CDTF">2021-09-15T19:07:00Z</dcterms:modified>
</cp:coreProperties>
</file>